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3"/>
        <w:contextualSpacing w:val="0"/>
        <w:ind w:left="0" w:right="0" w:firstLine="0"/>
        <w:jc w:val="right"/>
        <w:spacing w:before="0" w:after="0" w:line="240" w:lineRule="auto"/>
      </w:pPr>
      <w:r>
        <w:t xml:space="preserve">Приложение № 1 к </w:t>
      </w:r>
      <w:r/>
    </w:p>
    <w:p>
      <w:pPr>
        <w:pStyle w:val="703"/>
        <w:contextualSpacing w:val="0"/>
        <w:ind w:left="0" w:right="0" w:firstLine="0"/>
        <w:jc w:val="right"/>
        <w:spacing w:before="0" w:after="0" w:line="240" w:lineRule="auto"/>
      </w:pPr>
      <w:r>
        <w:t xml:space="preserve">приказу № У-152 от 25.08.2026г.</w:t>
      </w:r>
      <w:r/>
    </w:p>
    <w:p>
      <w:pPr>
        <w:pStyle w:val="703"/>
        <w:contextualSpacing w:val="0"/>
        <w:ind w:left="0" w:right="0" w:firstLine="0"/>
        <w:jc w:val="center"/>
        <w:spacing w:before="0" w:after="0" w:line="240" w:lineRule="auto"/>
        <w:rPr>
          <w:b/>
          <w:sz w:val="16"/>
          <w:szCs w:val="16"/>
        </w:rPr>
      </w:pPr>
      <w:r>
        <w:rPr>
          <w:b/>
        </w:rPr>
        <w:t xml:space="preserve">Соглашение о конфиденциальности</w:t>
      </w:r>
      <w:r>
        <w:rPr>
          <w:b/>
          <w:sz w:val="16"/>
          <w:szCs w:val="16"/>
        </w:rPr>
      </w:r>
    </w:p>
    <w:p>
      <w:pPr>
        <w:pStyle w:val="703"/>
        <w:contextualSpacing w:val="0"/>
        <w:ind w:left="0" w:right="0" w:firstLine="0"/>
        <w:jc w:val="center"/>
        <w:spacing w:before="0" w:after="0" w:line="240" w:lineRule="auto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tbl>
      <w:tblPr>
        <w:tblW w:w="985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221"/>
        <w:gridCol w:w="3221"/>
        <w:gridCol w:w="3411"/>
      </w:tblGrid>
      <w:tr>
        <w:tblPrEx/>
        <w:trPr/>
        <w:tc>
          <w:tcPr>
            <w:tcW w:w="3221" w:type="dxa"/>
            <w:textDirection w:val="lrTb"/>
            <w:noWrap w:val="false"/>
          </w:tcPr>
          <w:p>
            <w:pPr>
              <w:pStyle w:val="703"/>
              <w:contextualSpacing w:val="0"/>
              <w:ind w:left="0" w:right="0" w:firstLine="0"/>
              <w:spacing w:before="0" w:after="0" w:line="240" w:lineRule="auto"/>
            </w:pPr>
            <w:r/>
            <w:r/>
          </w:p>
        </w:tc>
        <w:tc>
          <w:tcPr>
            <w:tcW w:w="3221" w:type="dxa"/>
            <w:textDirection w:val="lrTb"/>
            <w:noWrap w:val="false"/>
          </w:tcPr>
          <w:p>
            <w:pPr>
              <w:pStyle w:val="703"/>
              <w:contextualSpacing w:val="0"/>
              <w:ind w:left="0" w:right="0" w:firstLine="0"/>
              <w:jc w:val="center"/>
              <w:spacing w:before="0" w:after="0" w:line="240" w:lineRule="auto"/>
            </w:pPr>
            <w:r/>
            <w:r/>
          </w:p>
        </w:tc>
        <w:tc>
          <w:tcPr>
            <w:tcW w:w="3411" w:type="dxa"/>
            <w:textDirection w:val="lrTb"/>
            <w:noWrap w:val="false"/>
          </w:tcPr>
          <w:p>
            <w:pPr>
              <w:pStyle w:val="703"/>
              <w:contextualSpacing w:val="0"/>
              <w:ind w:left="0" w:right="0" w:firstLine="0"/>
              <w:jc w:val="center"/>
              <w:spacing w:before="0" w:after="0" w:line="240" w:lineRule="auto"/>
            </w:pPr>
            <w:r>
              <w:t xml:space="preserve">«___» __________ 20___ г.</w:t>
            </w:r>
            <w:r/>
          </w:p>
        </w:tc>
      </w:tr>
    </w:tbl>
    <w:p>
      <w:pPr>
        <w:pStyle w:val="703"/>
        <w:contextualSpacing w:val="0"/>
        <w:ind w:left="0" w:right="0"/>
        <w:spacing w:before="0" w:after="0" w:line="240" w:lineRule="auto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_______________________________________________________________, именуемое в дальнейшем «_____________», в лице ____________________________________________________________________</w:t>
      </w:r>
      <w:r>
        <w:rPr>
          <w:szCs w:val="28"/>
        </w:rPr>
        <w:t xml:space="preserve">, действующего на основании ___________________________________________</w:t>
      </w:r>
      <w:r>
        <w:t xml:space="preserve">, с одной стороны, и Акционерное общество «Газпром газораспределение Великий Новгород»</w:t>
      </w:r>
      <w:r>
        <w:rPr>
          <w:szCs w:val="28"/>
        </w:rPr>
        <w:t xml:space="preserve">, именуемое в дальнейшем АО </w:t>
      </w:r>
      <w:r>
        <w:t xml:space="preserve">«Газпром газораспределение Великий Новгород»</w:t>
      </w:r>
      <w:r>
        <w:rPr>
          <w:szCs w:val="28"/>
        </w:rPr>
        <w:t xml:space="preserve">, в лице генерального директора Белова Андрея Алексеевича</w:t>
      </w:r>
      <w:r>
        <w:rPr>
          <w:rFonts w:eastAsia="Times New Roman"/>
          <w:szCs w:val="28"/>
          <w:lang w:eastAsia="ru-RU"/>
        </w:rPr>
        <w:t xml:space="preserve">, действующего на основании Устава</w:t>
      </w:r>
      <w:r>
        <w:rPr>
          <w:szCs w:val="28"/>
        </w:rPr>
        <w:t xml:space="preserve">, с другой стороны, именуемые в дальнейшем «Стороны», заключили настоящее Соглашение о нижеследующем:</w:t>
      </w:r>
      <w:r/>
    </w:p>
    <w:p>
      <w:pPr>
        <w:pStyle w:val="703"/>
        <w:contextualSpacing w:val="0"/>
        <w:ind w:left="0" w:right="0"/>
        <w:spacing w:before="0" w:after="0" w:line="240" w:lineRule="auto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703"/>
        <w:contextualSpacing w:val="0"/>
        <w:ind w:left="0" w:right="0"/>
        <w:spacing w:before="0" w:after="0" w:line="240" w:lineRule="auto"/>
      </w:pPr>
      <w:r>
        <w:rPr>
          <w:szCs w:val="28"/>
        </w:rPr>
        <w:t xml:space="preserve">1. Стороны обязуются обеспечивать соблюдение условий защиты полученной от другой Стороны информации</w:t>
      </w:r>
      <w:r>
        <w:t xml:space="preserve">, составляющей коммерческую тайну, и иной конфиденциальной информации (далее – Конфиденциальная информация), не допускать ее разглашение третьим лицам и не использовать во вред друг другу.</w:t>
      </w:r>
      <w:r/>
    </w:p>
    <w:p>
      <w:pPr>
        <w:pStyle w:val="703"/>
        <w:contextualSpacing w:val="0"/>
        <w:ind w:left="0" w:right="0"/>
        <w:spacing w:before="0" w:after="0" w:line="240" w:lineRule="auto"/>
        <w:rPr>
          <w:spacing w:val="-4"/>
        </w:rPr>
      </w:pPr>
      <w:r>
        <w:rPr>
          <w:spacing w:val="-4"/>
        </w:rPr>
        <w:t xml:space="preserve">2. Термины, применяемые в настоящем Соглашении, означают следующее:</w:t>
      </w:r>
      <w:r>
        <w:rPr>
          <w:spacing w:val="-4"/>
        </w:rPr>
      </w:r>
    </w:p>
    <w:p>
      <w:pPr>
        <w:pStyle w:val="703"/>
        <w:contextualSpacing w:val="0"/>
        <w:ind w:left="0" w:right="0"/>
        <w:spacing w:before="0" w:after="0" w:line="240" w:lineRule="auto"/>
        <w:rPr>
          <w:spacing w:val="-6"/>
        </w:rPr>
      </w:pPr>
      <w:r>
        <w:rPr>
          <w:spacing w:val="-6"/>
        </w:rPr>
        <w:t xml:space="preserve">коммерческая та</w:t>
      </w:r>
      <w:r>
        <w:rPr>
          <w:spacing w:val="-6"/>
        </w:rPr>
        <w:t xml:space="preserve">йна – 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  <w:r>
        <w:rPr>
          <w:spacing w:val="-6"/>
        </w:rPr>
      </w:r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информация, составляющая</w:t>
      </w:r>
      <w:r>
        <w:t xml:space="preserve"> коммерческую тайну (секрет производства), –сведения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</w:t>
      </w:r>
      <w:r>
        <w:rPr>
          <w:spacing w:val="-4"/>
        </w:rPr>
        <w:t xml:space="preserve">осуществления профессиональной деятельности, которые имеют действительную</w:t>
      </w:r>
      <w:r>
        <w:t xml:space="preserve">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 которых обладателем таких сведений введен режим коммерческой тайны;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персональные данные – любая информация, относящаяся к прямо или косвенно определенному или определяемому физическому лицу (субъекту персональных данных);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носители информации – материальные объекты, в которых Конфиденциальная информация находит свое отображение в виде символов, технических решений и процессов;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конфиденциальность информации – 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обладателя;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гриф конфиденциальности – реквизит, свидетельствующий о конфиденциальности информации, проставляемый на носителе данной информации.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На носители, содержащие информацию, составляющую коммерческую тайну «_______________», проставляется гриф конфиденциальности:</w:t>
      </w:r>
      <w:r/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Коммерческая тайна</w:t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___________________________________________</w:t>
      </w:r>
      <w:r>
        <w:rPr>
          <w:rFonts w:eastAsia="Times New Roman"/>
          <w:sz w:val="20"/>
          <w:szCs w:val="20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(ФИО – для физического лица, наименование ЮЛ – для юридического лица)</w:t>
      </w:r>
      <w:r>
        <w:rPr>
          <w:rFonts w:eastAsia="Times New Roman"/>
          <w:sz w:val="20"/>
          <w:szCs w:val="20"/>
          <w:lang w:eastAsia="ru-RU"/>
        </w:rPr>
      </w:r>
    </w:p>
    <w:p>
      <w:pPr>
        <w:pStyle w:val="644"/>
        <w:ind w:left="4340" w:right="0" w:firstLine="0"/>
        <w:jc w:val="center"/>
        <w:spacing w:line="240" w:lineRule="auto"/>
        <w:rPr>
          <w:rFonts w:eastAsia="Arial Unicode MS"/>
          <w:sz w:val="20"/>
          <w:szCs w:val="20"/>
        </w:rPr>
      </w:pPr>
      <w:r>
        <w:rPr>
          <w:rFonts w:eastAsia="Arial Unicode MS"/>
          <w:sz w:val="20"/>
          <w:szCs w:val="20"/>
        </w:rPr>
        <w:t xml:space="preserve">__________________________________________</w:t>
      </w:r>
      <w:r>
        <w:rPr>
          <w:rFonts w:eastAsia="Arial Unicode MS"/>
          <w:sz w:val="20"/>
          <w:szCs w:val="20"/>
        </w:rPr>
      </w:r>
    </w:p>
    <w:p>
      <w:pPr>
        <w:pStyle w:val="644"/>
        <w:ind w:left="4340" w:right="0" w:firstLine="0"/>
        <w:jc w:val="center"/>
        <w:spacing w:line="240" w:lineRule="auto"/>
        <w:rPr>
          <w:rFonts w:eastAsia="Arial Unicode MS"/>
          <w:sz w:val="20"/>
          <w:szCs w:val="20"/>
        </w:rPr>
      </w:pPr>
      <w:r>
        <w:rPr>
          <w:rFonts w:eastAsia="Arial Unicode MS"/>
          <w:sz w:val="20"/>
          <w:szCs w:val="20"/>
        </w:rPr>
        <w:t xml:space="preserve">(адрес регистрации)</w:t>
      </w:r>
      <w:r>
        <w:rPr>
          <w:rFonts w:eastAsia="Arial Unicode MS"/>
          <w:sz w:val="20"/>
          <w:szCs w:val="20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</w:r>
      <w:r>
        <w:rPr>
          <w:rFonts w:eastAsia="Times New Roman"/>
          <w:sz w:val="20"/>
          <w:szCs w:val="20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Экз. № __</w:t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</w:r>
      <w:r>
        <w:rPr>
          <w:rFonts w:eastAsia="Times New Roman"/>
          <w:sz w:val="16"/>
          <w:szCs w:val="16"/>
          <w:lang w:eastAsia="ru-RU"/>
        </w:rPr>
      </w:r>
    </w:p>
    <w:p>
      <w:pPr>
        <w:pStyle w:val="703"/>
        <w:contextualSpacing w:val="0"/>
        <w:ind w:left="0" w:right="0"/>
        <w:spacing w:before="0" w:after="0" w:line="240" w:lineRule="auto"/>
        <w:rPr>
          <w:rFonts w:eastAsia="Times New Roman"/>
          <w:sz w:val="16"/>
          <w:szCs w:val="16"/>
          <w:lang w:eastAsia="ru-RU"/>
        </w:rPr>
      </w:pPr>
      <w:r>
        <w:t xml:space="preserve">на носители, содержащие иные виды Конфиденциальной информации </w:t>
      </w:r>
      <w:r>
        <w:rPr>
          <w:spacing w:val="-6"/>
          <w:szCs w:val="28"/>
        </w:rPr>
        <w:t xml:space="preserve">«_________________»</w:t>
      </w:r>
      <w:r>
        <w:t xml:space="preserve"> (за исключением персональных данных), проставляется гриф конфиденциальности:</w:t>
      </w:r>
      <w:r>
        <w:rPr>
          <w:rFonts w:eastAsia="Times New Roman"/>
          <w:sz w:val="16"/>
          <w:szCs w:val="16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Конфиденциально</w:t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___________________________________________</w:t>
      </w:r>
      <w:r>
        <w:rPr>
          <w:rFonts w:eastAsia="Times New Roman"/>
          <w:sz w:val="20"/>
          <w:szCs w:val="20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(ФИО – для физического лица, наименование ЮЛ – для юридического лица)</w:t>
      </w:r>
      <w:r>
        <w:rPr>
          <w:rFonts w:eastAsia="Times New Roman"/>
          <w:sz w:val="20"/>
          <w:szCs w:val="20"/>
          <w:lang w:eastAsia="ru-RU"/>
        </w:rPr>
      </w:r>
    </w:p>
    <w:p>
      <w:pPr>
        <w:pStyle w:val="644"/>
        <w:ind w:left="4340" w:right="0" w:firstLine="0"/>
        <w:jc w:val="center"/>
        <w:spacing w:line="240" w:lineRule="auto"/>
        <w:rPr>
          <w:rFonts w:eastAsia="Arial Unicode MS"/>
          <w:sz w:val="20"/>
          <w:szCs w:val="20"/>
        </w:rPr>
      </w:pPr>
      <w:r>
        <w:rPr>
          <w:rFonts w:eastAsia="Arial Unicode MS"/>
          <w:sz w:val="20"/>
          <w:szCs w:val="20"/>
        </w:rPr>
        <w:t xml:space="preserve">__________________________________________</w:t>
      </w:r>
      <w:r>
        <w:rPr>
          <w:rFonts w:eastAsia="Arial Unicode MS"/>
          <w:sz w:val="20"/>
          <w:szCs w:val="20"/>
        </w:rPr>
      </w:r>
    </w:p>
    <w:p>
      <w:pPr>
        <w:pStyle w:val="644"/>
        <w:ind w:left="4340" w:right="0" w:firstLine="0"/>
        <w:jc w:val="center"/>
        <w:spacing w:line="240" w:lineRule="auto"/>
        <w:rPr>
          <w:rFonts w:eastAsia="Arial Unicode MS"/>
          <w:sz w:val="20"/>
          <w:szCs w:val="20"/>
        </w:rPr>
      </w:pPr>
      <w:r>
        <w:rPr>
          <w:rFonts w:eastAsia="Arial Unicode MS"/>
          <w:sz w:val="20"/>
          <w:szCs w:val="20"/>
        </w:rPr>
        <w:t xml:space="preserve">(адрес регистрации)</w:t>
      </w:r>
      <w:r>
        <w:rPr>
          <w:rFonts w:eastAsia="Arial Unicode MS"/>
          <w:sz w:val="20"/>
          <w:szCs w:val="20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</w:r>
      <w:r>
        <w:rPr>
          <w:rFonts w:eastAsia="Times New Roman"/>
          <w:sz w:val="20"/>
          <w:szCs w:val="20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Экз. № __</w:t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</w:r>
      <w:r>
        <w:rPr>
          <w:rFonts w:eastAsia="Times New Roman"/>
          <w:sz w:val="16"/>
          <w:szCs w:val="16"/>
          <w:lang w:eastAsia="ru-RU"/>
        </w:rPr>
      </w:r>
    </w:p>
    <w:p>
      <w:pPr>
        <w:pStyle w:val="644"/>
        <w:ind w:right="0" w:firstLine="0"/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szCs w:val="28"/>
        </w:rPr>
        <w:t xml:space="preserve">соответственно.</w:t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703"/>
        <w:contextualSpacing w:val="0"/>
        <w:ind w:left="0" w:right="0"/>
        <w:spacing w:before="0"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Cs w:val="28"/>
        </w:rPr>
        <w:t xml:space="preserve">На носители, содержащие информацию, составляющую коммерческую тайну АО «Газпром газораспределение Великий Новгород», проставляется гриф конфиденциальности</w:t>
      </w:r>
      <w:r>
        <w:t xml:space="preserve">: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Коммерческая тайна</w:t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644"/>
        <w:ind w:left="4395" w:right="0" w:firstLine="0"/>
        <w:jc w:val="center"/>
        <w:spacing w:line="240" w:lineRule="auto"/>
      </w:pPr>
      <w:r>
        <w:rPr>
          <w:rFonts w:eastAsia="Times New Roman"/>
          <w:sz w:val="20"/>
          <w:szCs w:val="20"/>
          <w:lang w:eastAsia="ru-RU"/>
        </w:rPr>
        <w:t xml:space="preserve">Акционерное общество</w:t>
        <w:br/>
        <w:t xml:space="preserve">«Газпром газораспределение Великий Новгород»</w:t>
      </w:r>
      <w:r/>
    </w:p>
    <w:p>
      <w:pPr>
        <w:pStyle w:val="644"/>
        <w:ind w:left="4395" w:right="0" w:firstLine="0"/>
        <w:jc w:val="center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ул. Загородная, д. 2, корп. 2, г. В. Новгород, 173015</w:t>
      </w:r>
      <w:r>
        <w:rPr>
          <w:rFonts w:eastAsia="Times New Roman"/>
          <w:sz w:val="20"/>
          <w:szCs w:val="20"/>
          <w:lang w:eastAsia="ru-RU"/>
        </w:rPr>
      </w:r>
    </w:p>
    <w:p>
      <w:pPr>
        <w:pStyle w:val="644"/>
        <w:ind w:left="4395" w:right="0" w:firstLine="0"/>
        <w:jc w:val="center"/>
        <w:spacing w:line="240" w:lineRule="auto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</w:r>
      <w:r>
        <w:rPr>
          <w:rFonts w:eastAsia="Times New Roman"/>
          <w:sz w:val="16"/>
          <w:szCs w:val="16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Экз. № __</w:t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644"/>
        <w:ind w:left="4395" w:right="0" w:firstLine="0"/>
        <w:jc w:val="center"/>
        <w:spacing w:line="240" w:lineRule="auto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</w:r>
      <w:r>
        <w:rPr>
          <w:rFonts w:eastAsia="Times New Roman"/>
          <w:sz w:val="16"/>
          <w:szCs w:val="16"/>
          <w:lang w:eastAsia="ru-RU"/>
        </w:rPr>
      </w:r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на носители, содержащие иные виды Конфиденциальной информации АО «Газпром газораспределение Великий Новгород» (за исключением персональных данных), проставляется гриф конфиденциальности:</w:t>
      </w:r>
      <w:r/>
    </w:p>
    <w:p>
      <w:pPr>
        <w:pStyle w:val="644"/>
        <w:ind w:left="3969" w:right="-5" w:firstLine="0"/>
        <w:jc w:val="center"/>
        <w:spacing w:line="240" w:lineRule="auto"/>
        <w:tabs>
          <w:tab w:val="clear" w:pos="709" w:leader="none"/>
          <w:tab w:val="left" w:pos="4395" w:leader="none"/>
          <w:tab w:val="left" w:pos="8960" w:leader="none"/>
        </w:tabs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</w:r>
      <w:r>
        <w:rPr>
          <w:rFonts w:eastAsia="Times New Roman"/>
          <w:sz w:val="16"/>
          <w:szCs w:val="16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Конфиденциально</w:t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644"/>
        <w:ind w:left="4395" w:right="0" w:firstLine="0"/>
        <w:jc w:val="center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Акционерное общество</w:t>
        <w:br/>
        <w:t xml:space="preserve">«Газпром газораспределение Великий Новгород»</w:t>
      </w:r>
      <w:r>
        <w:rPr>
          <w:rFonts w:eastAsia="Times New Roman"/>
          <w:sz w:val="20"/>
          <w:szCs w:val="20"/>
          <w:lang w:eastAsia="ru-RU"/>
        </w:rPr>
      </w:r>
    </w:p>
    <w:p>
      <w:pPr>
        <w:pStyle w:val="644"/>
        <w:ind w:left="4395" w:right="0" w:firstLine="0"/>
        <w:jc w:val="center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ул. Загородная, д. 2, корп. 2, г. В.Новгород, 173015</w:t>
      </w:r>
      <w:r>
        <w:rPr>
          <w:rFonts w:eastAsia="Times New Roman"/>
          <w:sz w:val="20"/>
          <w:szCs w:val="20"/>
          <w:lang w:eastAsia="ru-RU"/>
        </w:rPr>
      </w:r>
    </w:p>
    <w:p>
      <w:pPr>
        <w:pStyle w:val="644"/>
        <w:ind w:left="4395" w:right="0" w:firstLine="0"/>
        <w:jc w:val="center"/>
        <w:spacing w:line="240" w:lineRule="auto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</w:r>
      <w:r>
        <w:rPr>
          <w:rFonts w:eastAsia="Times New Roman"/>
          <w:sz w:val="16"/>
          <w:szCs w:val="16"/>
          <w:lang w:eastAsia="ru-RU"/>
        </w:rPr>
      </w:r>
    </w:p>
    <w:p>
      <w:pPr>
        <w:pStyle w:val="644"/>
        <w:ind w:left="3969" w:right="0" w:firstLine="0"/>
        <w:jc w:val="center"/>
        <w:spacing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Экз. № __</w:t>
      </w:r>
      <w:r>
        <w:rPr>
          <w:rFonts w:eastAsia="Times New Roman"/>
          <w:sz w:val="24"/>
          <w:szCs w:val="24"/>
          <w:lang w:eastAsia="ru-RU"/>
        </w:rPr>
      </w:r>
    </w:p>
    <w:p>
      <w:pPr>
        <w:pStyle w:val="703"/>
        <w:contextualSpacing w:val="0"/>
        <w:ind w:left="0" w:right="0" w:firstLine="0"/>
        <w:spacing w:before="0" w:after="0" w:line="240" w:lineRule="auto"/>
      </w:pPr>
      <w:r>
        <w:t xml:space="preserve">соответственно;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разглашение Конфиденциальной информации – действие или бездействие, в результате которых Конфиденциальная информация в любой возможной форме (устной, письменной, иной форме, в том числе с </w:t>
      </w:r>
      <w:r>
        <w:rPr>
          <w:szCs w:val="28"/>
        </w:rPr>
        <w:t xml:space="preserve">использованием технических средств) становится известной третьим лицам без согласия обладателя такой информации.</w:t>
      </w:r>
      <w:r/>
    </w:p>
    <w:p>
      <w:pPr>
        <w:pStyle w:val="703"/>
        <w:contextualSpacing w:val="0"/>
        <w:ind w:left="0" w:right="0"/>
        <w:spacing w:before="0" w:after="0" w:line="240" w:lineRule="auto"/>
        <w:rPr>
          <w:szCs w:val="28"/>
        </w:rPr>
      </w:pPr>
      <w:r>
        <w:rPr>
          <w:szCs w:val="28"/>
        </w:rPr>
        <w:t xml:space="preserve">3. В целях исполнения предмета настоящего Соглашения Стороны обязуются:</w:t>
      </w:r>
      <w:r>
        <w:rPr>
          <w:szCs w:val="28"/>
        </w:rPr>
      </w:r>
    </w:p>
    <w:p>
      <w:pPr>
        <w:pStyle w:val="644"/>
        <w:ind w:right="0" w:firstLine="708"/>
        <w:spacing w:line="240" w:lineRule="auto"/>
        <w:rPr>
          <w:color w:val="1f497d"/>
          <w:szCs w:val="28"/>
        </w:rPr>
      </w:pPr>
      <w:r>
        <w:rPr>
          <w:szCs w:val="28"/>
        </w:rPr>
        <w:t xml:space="preserve">3.1. Осуществлять защиту Конфиденциальной информации, обеспечивающую ее сохранность (неразглашение). </w:t>
      </w:r>
      <w:r>
        <w:rPr>
          <w:color w:val="1f497d"/>
          <w:szCs w:val="28"/>
        </w:rPr>
      </w:r>
    </w:p>
    <w:p>
      <w:pPr>
        <w:pStyle w:val="644"/>
        <w:ind w:right="0" w:firstLine="708"/>
        <w:spacing w:line="240" w:lineRule="auto"/>
        <w:rPr>
          <w:szCs w:val="28"/>
        </w:rPr>
      </w:pPr>
      <w:r>
        <w:rPr>
          <w:szCs w:val="28"/>
        </w:rPr>
        <w:t xml:space="preserve">Обработка передаваемых Сторонами персональных данных осуществляется с учетом требований законодательства Российской Федерации и положений локальных нормативных актов Сторон, регламентирующих вопросы обработки персональных данных.</w:t>
      </w:r>
      <w:r>
        <w:rPr>
          <w:szCs w:val="28"/>
        </w:rPr>
      </w:r>
    </w:p>
    <w:p>
      <w:pPr>
        <w:pStyle w:val="703"/>
        <w:contextualSpacing w:val="0"/>
        <w:ind w:left="0" w:right="0"/>
        <w:spacing w:before="0" w:after="0" w:line="240" w:lineRule="auto"/>
        <w:rPr>
          <w:szCs w:val="28"/>
        </w:rPr>
      </w:pPr>
      <w:r>
        <w:rPr>
          <w:szCs w:val="28"/>
        </w:rPr>
        <w:t xml:space="preserve">3.2. Осуществлять передачу Конфиденциальной информации заказными почтовыми отправлениями, с использованием экспресс-почты, фельдъегерской или специальной связи либо работниками Сторон (нарочными).</w:t>
      </w:r>
      <w:r>
        <w:rPr>
          <w:szCs w:val="28"/>
        </w:rPr>
      </w:r>
    </w:p>
    <w:p>
      <w:pPr>
        <w:pStyle w:val="703"/>
        <w:contextualSpacing w:val="0"/>
        <w:ind w:left="0" w:right="0"/>
        <w:spacing w:before="0" w:after="0" w:line="240" w:lineRule="auto"/>
      </w:pPr>
      <w:r>
        <w:rPr>
          <w:szCs w:val="28"/>
        </w:rPr>
        <w:t xml:space="preserve">3.3. Не передавать друг другу Конфиденциальную</w:t>
      </w:r>
      <w:r>
        <w:t xml:space="preserve"> информацию по открытым каналам телефонной, телеграфной и факсимильной связи, а также с использованием _____________________________________________________ </w:t>
      </w:r>
      <w:r>
        <w:rPr>
          <w:i/>
        </w:rPr>
        <w:t xml:space="preserve">(иные средства передачи данных)</w:t>
      </w:r>
      <w:r>
        <w:t xml:space="preserve"> </w:t>
      </w:r>
      <w:r>
        <w:rPr>
          <w:spacing w:val="-6"/>
        </w:rPr>
        <w:t xml:space="preserve">и сети Интернет без принятия мер, обеспечивающих ее защиту.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3.4. Обращаться с Конфиденциальной информацией и ее носителями в соответствии с требованиями внутренних нормативных документов Сторон и не допускать разглашения Конфиденциальной информации.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3.5. Использовать полученную Конфиденциальную информацию в целях и для решения задач, связанных с деятельностью Сторон, на условиях конфиденциальности, в том числе для передачи третьим лицам.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4. Обязательства по настоящему соглашению распространяются также на Конфиденциальную информацию, полученную Сторонами друг от друга до заключения настоящего Соглашения.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5. Сторона, допустившая утрату или разглашение Конфиденциальной информации, несет ответственность за убытки, понесенные Передающей Стороной и возникшие в связи с разглашением или утратой Получателем переданной ему Конфиденциальной информации.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6. Контроль за соблюдением порядка использования и хранения Конфиденциальной информации возлагается у ______________ на _________________________________, в </w:t>
      </w:r>
      <w:r>
        <w:rPr>
          <w:szCs w:val="28"/>
        </w:rPr>
        <w:t xml:space="preserve">АО </w:t>
      </w:r>
      <w:r>
        <w:t xml:space="preserve">«Газпром газораспределение Великий Новгород»</w:t>
      </w:r>
      <w:r>
        <w:rPr>
          <w:szCs w:val="28"/>
        </w:rPr>
        <w:t xml:space="preserve"> </w:t>
      </w:r>
      <w:r>
        <w:t xml:space="preserve">– на ______________________________________________.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7. Передача Конфиденциальной информации органам государственной власти, иным государственным органам, органам местного самоуправления, не считается разглашением в случаях, когда такие органы уполномочены в </w:t>
      </w:r>
      <w:r>
        <w:rPr>
          <w:spacing w:val="-6"/>
        </w:rPr>
        <w:t xml:space="preserve">соответствии с законодательством требовать предоставления такой информации.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8. Передающая Сторона остается обладателем переданной Конфиденциальной информации. 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9. Все споры и разногласия, которые могут возникнуть между Сторонами в связи с настоящим Соглашением, будут по возможности разрешаться путем переговоров между Сторон</w:t>
      </w:r>
      <w:r>
        <w:t xml:space="preserve">ами. В случае недостижения соглашения путем переговоров все споры, разногласия или требования, касающиеся его исполнения, нарушения, прекращения или недействительности подлежат разрешению в соответствии с действующим законодательством Российской Федерации.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Настоящее Соглашение толкуется и регулируется в соответствии с законодательством Российской Федерации.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10. Любые поправки, изменения и дополнения к настоящему Соглашению имеют силу только в том случае, если они составлены в письменном виде и подписаны должным образом уполномоченными представителями каждой из Сторон.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11. Настоящее Соглашение вступает в силу с даты его подписания Сторонами и действует в течение ______________ лет.</w:t>
      </w:r>
      <w:r/>
    </w:p>
    <w:p>
      <w:pPr>
        <w:pStyle w:val="703"/>
        <w:contextualSpacing w:val="0"/>
        <w:ind w:left="0" w:right="0"/>
        <w:spacing w:before="0" w:after="0" w:line="240" w:lineRule="auto"/>
      </w:pPr>
      <w:r>
        <w:t xml:space="preserve">12. Настоящее Соглашение подписано в двух экземплярах, имеющих одинаковую юридическую силу, по одному для каждой из Сторон.</w:t>
      </w:r>
      <w:r/>
    </w:p>
    <w:p>
      <w:pPr>
        <w:pStyle w:val="703"/>
        <w:contextualSpacing w:val="0"/>
        <w:ind w:left="0" w:right="0"/>
        <w:spacing w:before="0" w:after="0" w:line="240" w:lineRule="auto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9639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962"/>
        <w:gridCol w:w="4677"/>
      </w:tblGrid>
      <w:tr>
        <w:tblPrEx/>
        <w:trPr/>
        <w:tc>
          <w:tcPr>
            <w:tcW w:w="4962" w:type="dxa"/>
            <w:textDirection w:val="lrTb"/>
            <w:noWrap w:val="false"/>
          </w:tcPr>
          <w:p>
            <w:pPr>
              <w:pStyle w:val="703"/>
              <w:contextualSpacing w:val="0"/>
              <w:ind w:left="0" w:right="0" w:firstLine="0"/>
              <w:spacing w:before="0" w:after="0" w:line="240" w:lineRule="auto"/>
            </w:pPr>
            <w:r/>
            <w:bookmarkStart w:id="0" w:name="D_REQ"/>
            <w:r/>
            <w:bookmarkEnd w:id="0"/>
            <w:r>
              <w:rPr>
                <w:b/>
              </w:rPr>
              <w:t xml:space="preserve">«________________» </w:t>
            </w:r>
            <w:r/>
          </w:p>
          <w:p>
            <w:pPr>
              <w:pStyle w:val="703"/>
              <w:contextualSpacing w:val="0"/>
              <w:ind w:left="0" w:right="0" w:firstLine="0"/>
              <w:spacing w:before="0" w:after="0" w:line="240" w:lineRule="auto"/>
              <w:rPr>
                <w:b/>
              </w:rPr>
            </w:pPr>
            <w:r>
              <w:rPr>
                <w:b/>
              </w:rPr>
              <w:t xml:space="preserve">________________________________</w:t>
            </w:r>
            <w:r>
              <w:rPr>
                <w:b/>
              </w:rPr>
            </w:r>
          </w:p>
          <w:p>
            <w:pPr>
              <w:pStyle w:val="703"/>
              <w:ind w:left="0" w:right="0" w:firstLine="0"/>
              <w:jc w:val="left"/>
              <w:spacing w:line="240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Адрес местонахождения:</w:t>
            </w:r>
            <w:r>
              <w:rPr>
                <w:bCs/>
                <w:szCs w:val="28"/>
              </w:rPr>
            </w:r>
          </w:p>
          <w:p>
            <w:pPr>
              <w:pStyle w:val="703"/>
              <w:ind w:left="0" w:right="0" w:firstLine="0"/>
              <w:jc w:val="left"/>
              <w:spacing w:line="240" w:lineRule="auto"/>
            </w:pPr>
            <w:r>
              <w:t xml:space="preserve">________________________________</w:t>
            </w:r>
            <w:r/>
          </w:p>
          <w:p>
            <w:pPr>
              <w:pStyle w:val="703"/>
              <w:ind w:left="0" w:right="0" w:firstLine="0"/>
              <w:jc w:val="left"/>
              <w:spacing w:line="240" w:lineRule="auto"/>
            </w:pPr>
            <w:r>
              <w:t xml:space="preserve">________________________________</w:t>
            </w:r>
            <w:r/>
          </w:p>
          <w:p>
            <w:pPr>
              <w:pStyle w:val="703"/>
              <w:ind w:left="0" w:right="0" w:firstLine="0"/>
              <w:jc w:val="left"/>
              <w:spacing w:line="240" w:lineRule="auto"/>
            </w:pPr>
            <w:r>
              <w:t xml:space="preserve">ИНН ___________________________</w:t>
            </w:r>
            <w:r/>
          </w:p>
        </w:tc>
        <w:tc>
          <w:tcPr>
            <w:tcW w:w="4677" w:type="dxa"/>
            <w:textDirection w:val="lrTb"/>
            <w:noWrap w:val="false"/>
          </w:tcPr>
          <w:p>
            <w:pPr>
              <w:pStyle w:val="703"/>
              <w:contextualSpacing w:val="0"/>
              <w:ind w:left="0" w:right="0" w:firstLine="0"/>
              <w:spacing w:before="0" w:after="0" w:line="240" w:lineRule="auto"/>
            </w:pPr>
            <w:r>
              <w:rPr>
                <w:b/>
              </w:rPr>
              <w:t xml:space="preserve">АО «Газпром газораспределение Великий Новгород»</w:t>
            </w:r>
            <w:r/>
          </w:p>
          <w:p>
            <w:pPr>
              <w:pStyle w:val="703"/>
              <w:ind w:left="0" w:right="0" w:firstLine="0"/>
              <w:jc w:val="left"/>
              <w:spacing w:line="240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Адрес местонахождения:</w:t>
            </w:r>
            <w:r>
              <w:rPr>
                <w:bCs/>
                <w:szCs w:val="28"/>
              </w:rPr>
            </w:r>
          </w:p>
          <w:p>
            <w:pPr>
              <w:pStyle w:val="703"/>
              <w:ind w:left="0" w:right="0" w:firstLine="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 xml:space="preserve">Российская Федерация,</w:t>
            </w:r>
            <w:r>
              <w:rPr>
                <w:szCs w:val="28"/>
              </w:rPr>
            </w:r>
          </w:p>
          <w:p>
            <w:pPr>
              <w:pStyle w:val="703"/>
              <w:ind w:left="0" w:right="0" w:firstLine="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 xml:space="preserve">г. Великий Новгород, ул. Загородная, д. 2, корп. 2</w:t>
            </w:r>
            <w:r>
              <w:rPr>
                <w:szCs w:val="28"/>
              </w:rPr>
            </w:r>
          </w:p>
        </w:tc>
      </w:tr>
      <w:tr>
        <w:tblPrEx/>
        <w:trPr/>
        <w:tc>
          <w:tcPr>
            <w:tcW w:w="4962" w:type="dxa"/>
            <w:textDirection w:val="lrTb"/>
            <w:noWrap w:val="false"/>
          </w:tcPr>
          <w:p>
            <w:pPr>
              <w:pStyle w:val="644"/>
              <w:ind w:right="32" w:firstLine="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Style w:val="644"/>
              <w:ind w:right="32" w:firstLine="0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Style w:val="644"/>
              <w:ind w:right="32" w:firstLine="0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Style w:val="644"/>
              <w:ind w:right="32" w:firstLine="0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 xml:space="preserve">_________________//</w:t>
            </w:r>
            <w:r>
              <w:rPr>
                <w:szCs w:val="28"/>
              </w:rPr>
            </w:r>
          </w:p>
          <w:p>
            <w:pPr>
              <w:pStyle w:val="644"/>
              <w:ind w:right="32" w:firstLine="0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 xml:space="preserve">М.П.</w:t>
            </w:r>
            <w:r>
              <w:rPr>
                <w:szCs w:val="28"/>
              </w:rPr>
            </w:r>
          </w:p>
        </w:tc>
        <w:tc>
          <w:tcPr>
            <w:tcW w:w="4677" w:type="dxa"/>
            <w:textDirection w:val="lrTb"/>
            <w:noWrap w:val="false"/>
          </w:tcPr>
          <w:p>
            <w:pPr>
              <w:pStyle w:val="644"/>
              <w:ind w:right="32" w:firstLine="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Style w:val="644"/>
              <w:ind w:right="32" w:firstLine="0"/>
              <w:jc w:val="left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 xml:space="preserve">Генеральный директор </w:t>
            </w:r>
            <w:r>
              <w:rPr>
                <w:szCs w:val="28"/>
              </w:rPr>
            </w:r>
          </w:p>
          <w:p>
            <w:pPr>
              <w:pStyle w:val="644"/>
              <w:ind w:right="32" w:firstLine="0"/>
              <w:spacing w:line="240" w:lineRule="auto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</w:p>
          <w:p>
            <w:pPr>
              <w:pStyle w:val="644"/>
              <w:ind w:right="32" w:firstLine="0"/>
              <w:spacing w:line="240" w:lineRule="auto"/>
            </w:pPr>
            <w:r>
              <w:rPr>
                <w:szCs w:val="28"/>
              </w:rPr>
              <w:t xml:space="preserve">_________________/А.А. Белов/</w:t>
            </w:r>
            <w:r/>
          </w:p>
          <w:p>
            <w:pPr>
              <w:pStyle w:val="644"/>
              <w:ind w:right="32" w:firstLine="0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 xml:space="preserve">М.П.</w:t>
            </w:r>
            <w:r>
              <w:rPr>
                <w:szCs w:val="28"/>
              </w:rPr>
            </w:r>
          </w:p>
        </w:tc>
      </w:tr>
    </w:tbl>
    <w:p>
      <w:pPr>
        <w:pStyle w:val="719"/>
      </w:pPr>
      <w:r/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765" w:right="851" w:bottom="1134" w:left="1418" w:header="709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803050406030204"/>
  </w:font>
  <w:font w:name="Pragmatica;Times New Roman">
    <w:panose1 w:val="020B0604020202020204"/>
  </w:font>
  <w:font w:name="Consultant;Courier New">
    <w:panose1 w:val="020B0604020202020204"/>
  </w:font>
  <w:font w:name="Courier New">
    <w:panose1 w:val="02070309020205020404"/>
  </w:font>
  <w:font w:name="Symbol">
    <w:panose1 w:val="05010000000000000000"/>
  </w:font>
  <w:font w:name="Arial Unicode MS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Wingdings">
    <w:panose1 w:val="05010000000000000000"/>
  </w:font>
  <w:font w:name="Liberation Sans">
    <w:panose1 w:val="020B0604020202020204"/>
  </w:font>
  <w:font w:name="Tahoma">
    <w:panose1 w:val="020B0604030504040204"/>
  </w:font>
  <w:font w:name="Droid Sans">
    <w:panose1 w:val="020B0606030804020204"/>
  </w:font>
  <w:font w:name="Liberation Serif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5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4</w:t>
    </w:r>
    <w:r>
      <w:rPr>
        <w:sz w:val="24"/>
        <w:szCs w:val="24"/>
      </w:rPr>
      <w:fldChar w:fldCharType="end"/>
    </w:r>
    <w:r>
      <w:rPr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645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pStyle w:val="646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pStyle w:val="647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pStyle w:val="648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Liberation Serif" w:hAnsi="Liberation Serif" w:eastAsia="Tahoma" w:cs="Droid Sans"/>
        <w:sz w:val="24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12"/>
    <w:link w:val="64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12"/>
    <w:link w:val="646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12"/>
    <w:link w:val="64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44"/>
    <w:next w:val="644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44"/>
    <w:next w:val="644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44"/>
    <w:next w:val="644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44"/>
    <w:next w:val="644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44"/>
    <w:next w:val="644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12"/>
    <w:link w:val="64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44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44"/>
    <w:next w:val="644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44"/>
    <w:next w:val="644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44"/>
    <w:next w:val="644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44"/>
    <w:next w:val="644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12"/>
    <w:link w:val="705"/>
    <w:uiPriority w:val="99"/>
  </w:style>
  <w:style w:type="character" w:styleId="46">
    <w:name w:val="Footer Char"/>
    <w:basedOn w:val="12"/>
    <w:link w:val="706"/>
    <w:uiPriority w:val="99"/>
  </w:style>
  <w:style w:type="character" w:styleId="48">
    <w:name w:val="Caption Char"/>
    <w:basedOn w:val="12"/>
    <w:link w:val="701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c5fdbc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c5fdbc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1ebe03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36b8fb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43c03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dc33fa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3fdba" w:themeFill="accent1" w:themeFillTint="34"/>
    </w:tblPr>
    <w:tblStylePr w:type="band1Horz">
      <w:tcPr>
        <w:shd w:val="clear" w:color="ffffff" w:themeColor="accent1" w:themeTint="75" w:fill="79fb64" w:themeFill="accent1" w:themeFillTint="75"/>
      </w:tcPr>
    </w:tblStylePr>
    <w:tblStylePr w:type="band1Vert">
      <w:tcPr>
        <w:shd w:val="clear" w:color="ffffff" w:themeColor="accent1" w:themeTint="75" w:fill="79fb6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bce7fd" w:themeFill="accent2" w:themeFillTint="32"/>
    </w:tblPr>
    <w:tblStylePr w:type="band1Horz">
      <w:tcPr>
        <w:shd w:val="clear" w:color="ffffff" w:themeColor="accent2" w:themeTint="75" w:fill="64c8fb" w:themeFill="accent2" w:themeFillTint="75"/>
      </w:tcPr>
    </w:tblStylePr>
    <w:tblStylePr w:type="band1Vert">
      <w:tcPr>
        <w:shd w:val="clear" w:color="ffffff" w:themeColor="accent2" w:themeTint="75" w:fill="64c8fb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0369a3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dd2ba" w:themeFill="accent3" w:themeFillTint="34"/>
    </w:tblPr>
    <w:tblStylePr w:type="band1Horz">
      <w:tcPr>
        <w:shd w:val="clear" w:color="ffffff" w:themeColor="accent3" w:themeTint="75" w:fill="fb9964" w:themeFill="accent3" w:themeFillTint="75"/>
      </w:tcPr>
    </w:tblStylePr>
    <w:tblStylePr w:type="band1Vert">
      <w:tcPr>
        <w:shd w:val="clear" w:color="ffffff" w:themeColor="accent3" w:themeTint="75" w:fill="fb9964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33e03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3bafd" w:themeFill="accent4" w:themeFillTint="34"/>
    </w:tblPr>
    <w:tblStylePr w:type="band1Horz">
      <w:tcPr>
        <w:shd w:val="clear" w:color="ffffff" w:themeColor="accent4" w:themeTint="75" w:fill="e464fb" w:themeFill="accent4" w:themeFillTint="75"/>
      </w:tcPr>
    </w:tblStylePr>
    <w:tblStylePr w:type="band1Vert">
      <w:tcPr>
        <w:shd w:val="clear" w:color="ffffff" w:themeColor="accent4" w:themeTint="75" w:fill="e464fb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e03a3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fefbf" w:themeFill="accent5" w:themeFillTint="34"/>
    </w:tblPr>
    <w:tblStylePr w:type="band1Horz">
      <w:tcPr>
        <w:shd w:val="clear" w:color="ffffff" w:themeColor="accent5" w:themeTint="75" w:fill="ffdb71" w:themeFill="accent5" w:themeFillTint="75"/>
      </w:tcPr>
    </w:tblStylePr>
    <w:tblStylePr w:type="band1Vert">
      <w:tcPr>
        <w:shd w:val="clear" w:color="ffffff" w:themeColor="accent5" w:themeTint="75" w:fill="ffdb71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7cccc" w:themeFill="accent6" w:themeFillTint="34"/>
    </w:tblPr>
    <w:tblStylePr w:type="band1Horz">
      <w:tcPr>
        <w:shd w:val="clear" w:color="ffffff" w:themeColor="accent6" w:themeTint="75" w:fill="ee8f8f" w:themeFill="accent6" w:themeFillTint="75"/>
      </w:tcPr>
    </w:tblStylePr>
    <w:tblStylePr w:type="band1Vert">
      <w:tcPr>
        <w:shd w:val="clear" w:color="ffffff" w:themeColor="accent6" w:themeTint="75" w:fill="ee8f8f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tcPr>
        <w:shd w:val="clear" w:color="ffffff" w:themeColor="accent1" w:themeTint="34" w:fill="c3fdba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1ebf04" w:themeColor="accent1" w:themeTint="80" w:themeShade="95"/>
      </w:rPr>
    </w:tblStylePr>
    <w:tblStylePr w:type="firstRow">
      <w:rPr>
        <w:b/>
        <w:color w:val="1ebf04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ebf04" w:themeColor="accent1" w:themeTint="80" w:themeShade="95"/>
      </w:rPr>
    </w:tblStylePr>
    <w:tblStylePr w:type="lastRow">
      <w:rPr>
        <w:b/>
        <w:color w:val="1ebf04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tcPr>
        <w:shd w:val="clear" w:color="ffffff" w:themeColor="accent2" w:themeTint="32" w:fill="bce7fd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0378ae" w:themeColor="accent2" w:themeTint="97" w:themeShade="95"/>
      </w:rPr>
    </w:tblStylePr>
    <w:tblStylePr w:type="firstRow">
      <w:rPr>
        <w:b/>
        <w:color w:val="0378ae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0378ae" w:themeColor="accent2" w:themeTint="97" w:themeShade="95"/>
      </w:rPr>
    </w:tblStylePr>
    <w:tblStylePr w:type="lastRow">
      <w:rPr>
        <w:b/>
        <w:color w:val="0378ae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tcPr>
        <w:shd w:val="clear" w:color="ffffff" w:themeColor="accent3" w:themeTint="34" w:fill="fdd2ba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e2201" w:themeColor="accent3" w:themeTint="FE" w:themeShade="95"/>
      </w:rPr>
    </w:tblStylePr>
    <w:tblStylePr w:type="firstRow">
      <w:rPr>
        <w:b/>
        <w:color w:val="5e22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e2201" w:themeColor="accent3" w:themeTint="FE" w:themeShade="95"/>
      </w:rPr>
    </w:tblStylePr>
    <w:tblStylePr w:type="lastRow">
      <w:rPr>
        <w:b/>
        <w:color w:val="5e2201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tcPr>
        <w:shd w:val="clear" w:color="ffffff" w:themeColor="accent4" w:themeTint="34" w:fill="f3bafd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9104ab" w:themeColor="accent4" w:themeTint="9A" w:themeShade="95"/>
      </w:rPr>
    </w:tblStylePr>
    <w:tblStylePr w:type="firstRow">
      <w:rPr>
        <w:b/>
        <w:color w:val="9104ab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9104ab" w:themeColor="accent4" w:themeTint="9A" w:themeShade="95"/>
      </w:rPr>
    </w:tblStylePr>
    <w:tblStylePr w:type="lastRow">
      <w:rPr>
        <w:b/>
        <w:color w:val="9104ab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tcPr>
        <w:shd w:val="clear" w:color="ffffff" w:themeColor="accent5" w:themeTint="34" w:fill="ffefbf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745700" w:themeColor="accent5" w:themeShade="95"/>
      </w:rPr>
    </w:tblStylePr>
    <w:tblStylePr w:type="firstRow">
      <w:rPr>
        <w:b/>
        <w:color w:val="745700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745700" w:themeColor="accent5" w:themeShade="95"/>
      </w:rPr>
    </w:tblStylePr>
    <w:tblStylePr w:type="lastRow">
      <w:rPr>
        <w:b/>
        <w:color w:val="745700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tcPr>
        <w:shd w:val="clear" w:color="ffffff" w:themeColor="accent6" w:themeTint="34" w:fill="f7cccc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745700" w:themeColor="accent5" w:themeShade="95"/>
      </w:rPr>
    </w:tblStylePr>
    <w:tblStylePr w:type="firstRow">
      <w:rPr>
        <w:b/>
        <w:color w:val="745700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745700" w:themeColor="accent5" w:themeShade="95"/>
      </w:rPr>
    </w:tblStylePr>
    <w:tblStylePr w:type="lastRow">
      <w:rPr>
        <w:b/>
        <w:color w:val="745700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1ebf04" w:themeColor="accent1" w:themeTint="80" w:themeShade="95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tcPr>
        <w:shd w:val="clear" w:color="ffffff" w:themeColor="accent1" w:themeTint="34" w:fill="c3fdba" w:themeFill="accent1" w:themeFillTint="34"/>
      </w:tcPr>
    </w:tblStylePr>
    <w:tblStylePr w:type="band2Horz">
      <w:rPr>
        <w:rFonts w:ascii="Liberation Sans" w:hAnsi="Liberation Sans"/>
        <w:color w:val="1ebf04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1ebf04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1ebf04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1ebf04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1ebf04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0378ae" w:themeColor="accent2" w:themeTint="97" w:themeShade="95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tcPr>
        <w:shd w:val="clear" w:color="ffffff" w:themeColor="accent2" w:themeTint="32" w:fill="bce7fd" w:themeFill="accent2" w:themeFillTint="32"/>
      </w:tcPr>
    </w:tblStylePr>
    <w:tblStylePr w:type="band2Horz">
      <w:rPr>
        <w:rFonts w:ascii="Liberation Sans" w:hAnsi="Liberation Sans"/>
        <w:color w:val="0378ae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0378ae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0378ae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e2201" w:themeColor="accent3" w:themeTint="FE" w:themeShade="95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tcPr>
        <w:shd w:val="clear" w:color="ffffff" w:themeColor="accent3" w:themeTint="34" w:fill="fdd2ba" w:themeFill="accent3" w:themeFillTint="34"/>
      </w:tcPr>
    </w:tblStylePr>
    <w:tblStylePr w:type="band2Horz">
      <w:rPr>
        <w:rFonts w:ascii="Liberation Sans" w:hAnsi="Liberation Sans"/>
        <w:color w:val="5e2201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e2201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e2201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e2201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e22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9104ab" w:themeColor="accent4" w:themeTint="9A" w:themeShade="95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tcPr>
        <w:shd w:val="clear" w:color="ffffff" w:themeColor="accent4" w:themeTint="34" w:fill="f3bafd" w:themeFill="accent4" w:themeFillTint="34"/>
      </w:tcPr>
    </w:tblStylePr>
    <w:tblStylePr w:type="band2Horz">
      <w:rPr>
        <w:rFonts w:ascii="Liberation Sans" w:hAnsi="Liberation Sans"/>
        <w:color w:val="9104ab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9104ab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104ab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745700" w:themeColor="accent5" w:themeShade="95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tcPr>
        <w:shd w:val="clear" w:color="ffffff" w:themeColor="accent5" w:themeTint="34" w:fill="ffefbf" w:themeFill="accent5" w:themeFillTint="34"/>
      </w:tcPr>
    </w:tblStylePr>
    <w:tblStylePr w:type="band2Horz">
      <w:rPr>
        <w:rFonts w:ascii="Liberation Sans" w:hAnsi="Liberation Sans"/>
        <w:color w:val="745700" w:themeColor="accent5" w:themeShade="95"/>
        <w:sz w:val="22"/>
      </w:rPr>
    </w:tblStylePr>
    <w:tblStylePr w:type="firstCol">
      <w:rPr>
        <w:rFonts w:ascii="Liberation Sans" w:hAnsi="Liberation Sans"/>
        <w:i/>
        <w:color w:val="745700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745700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45700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745700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741111" w:themeColor="accent6" w:themeShade="95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tcPr>
        <w:shd w:val="clear" w:color="ffffff" w:themeColor="accent6" w:themeTint="34" w:fill="f7cccc" w:themeFill="accent6" w:themeFillTint="34"/>
      </w:tcPr>
    </w:tblStylePr>
    <w:tblStylePr w:type="band2Horz">
      <w:rPr>
        <w:rFonts w:ascii="Liberation Sans" w:hAnsi="Liberation Sans"/>
        <w:color w:val="741111" w:themeColor="accent6" w:themeShade="95"/>
        <w:sz w:val="22"/>
      </w:rPr>
    </w:tblStylePr>
    <w:tblStylePr w:type="firstCol">
      <w:rPr>
        <w:rFonts w:ascii="Liberation Sans" w:hAnsi="Liberation Sans"/>
        <w:i/>
        <w:color w:val="741111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741111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41111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741111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b6fdaa" w:themeFill="accent1" w:themeFillTint="40"/>
      </w:tcPr>
    </w:tblStylePr>
    <w:tblStylePr w:type="band1Vert">
      <w:tcPr>
        <w:shd w:val="clear" w:color="ffffff" w:themeColor="accent1" w:themeTint="40" w:fill="b6fdaa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aae1fd" w:themeFill="accent2" w:themeFillTint="40"/>
      </w:tcPr>
    </w:tblStylePr>
    <w:tblStylePr w:type="band1Vert">
      <w:tcPr>
        <w:shd w:val="clear" w:color="ffffff" w:themeColor="accent2" w:themeTint="40" w:fill="aae1fd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dc7aa" w:themeFill="accent3" w:themeFillTint="40"/>
      </w:tcPr>
    </w:tblStylePr>
    <w:tblStylePr w:type="band1Vert">
      <w:tcPr>
        <w:shd w:val="clear" w:color="ffffff" w:themeColor="accent3" w:themeTint="40" w:fill="fdc7aa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0aafd" w:themeFill="accent4" w:themeFillTint="40"/>
      </w:tcPr>
    </w:tblStylePr>
    <w:tblStylePr w:type="band1Vert">
      <w:tcPr>
        <w:shd w:val="clear" w:color="ffffff" w:themeColor="accent4" w:themeTint="40" w:fill="f0aafd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ffebb1" w:themeFill="accent5" w:themeFillTint="40"/>
      </w:tcPr>
    </w:tblStylePr>
    <w:tblStylePr w:type="band1Vert">
      <w:tcPr>
        <w:shd w:val="clear" w:color="ffffff" w:themeColor="accent5" w:themeTint="40" w:fill="ffebb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5c2c2" w:themeFill="accent6" w:themeFillTint="40"/>
      </w:tcPr>
    </w:tblStylePr>
    <w:tblStylePr w:type="band1Vert">
      <w:tcPr>
        <w:shd w:val="clear" w:color="ffffff" w:themeColor="accent6" w:themeTint="40" w:fill="f5c2c2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36b8fb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fa7a35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dc33f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ffd042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e96e6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8a303" w:themeFill="accent1"/>
    </w:tblPr>
    <w:tblStylePr w:type="band1Horz">
      <w:tcPr>
        <w:shd w:val="clear" w:color="ffffff" w:themeColor="accent1" w:fill="18a303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18a303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18a303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18a303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36b8fb" w:themeFill="accent2" w:themeFillTint="97"/>
    </w:tblPr>
    <w:tblStylePr w:type="band1Horz">
      <w:tcPr>
        <w:shd w:val="clear" w:color="ffffff" w:themeColor="accent2" w:themeTint="97" w:fill="36b8fb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36b8fb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36b8fb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36b8fb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a7a35" w:themeFill="accent3" w:themeFillTint="98"/>
    </w:tblPr>
    <w:tblStylePr w:type="band1Horz">
      <w:tcPr>
        <w:shd w:val="clear" w:color="ffffff" w:themeColor="accent3" w:themeTint="98" w:fill="fa7a35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a7a35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a7a35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fa7a35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dc33fa" w:themeFill="accent4" w:themeFillTint="9A"/>
    </w:tblPr>
    <w:tblStylePr w:type="band1Horz">
      <w:tcPr>
        <w:shd w:val="clear" w:color="ffffff" w:themeColor="accent4" w:themeTint="9A" w:fill="dc33fa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dc33fa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dc33fa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dc33fa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ffd042" w:themeFill="accent5" w:themeFillTint="9A"/>
    </w:tblPr>
    <w:tblStylePr w:type="band1Horz">
      <w:tcPr>
        <w:shd w:val="clear" w:color="ffffff" w:themeColor="accent5" w:themeTint="9A" w:fill="ffd042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ffd042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ffd042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ffd042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96e6e" w:themeFill="accent6" w:themeFillTint="98"/>
    </w:tblPr>
    <w:tblStylePr w:type="band1Horz">
      <w:tcPr>
        <w:shd w:val="clear" w:color="ffffff" w:themeColor="accent6" w:themeTint="98" w:fill="e96e6e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96e6e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96e6e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e96e6e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tcPr>
        <w:shd w:val="clear" w:color="ffffff" w:themeColor="accent1" w:themeTint="40" w:fill="b6fdaa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0e5e01" w:themeColor="accent1" w:themeShade="95"/>
      </w:rPr>
    </w:tblStylePr>
    <w:tblStylePr w:type="firstRow">
      <w:rPr>
        <w:b/>
        <w:color w:val="0e5e0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e5e01" w:themeColor="accent1" w:themeShade="95"/>
      </w:rPr>
    </w:tblStylePr>
    <w:tblStylePr w:type="lastRow">
      <w:rPr>
        <w:b/>
        <w:color w:val="0e5e0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tcPr>
        <w:shd w:val="clear" w:color="ffffff" w:themeColor="accent2" w:themeTint="40" w:fill="aae1fd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0378ae" w:themeColor="accent2" w:themeTint="97" w:themeShade="95"/>
      </w:rPr>
    </w:tblStylePr>
    <w:tblStylePr w:type="firstRow">
      <w:rPr>
        <w:b/>
        <w:color w:val="0378ae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0378ae" w:themeColor="accent2" w:themeTint="97" w:themeShade="95"/>
      </w:rPr>
    </w:tblStylePr>
    <w:tblStylePr w:type="lastRow">
      <w:rPr>
        <w:b/>
        <w:color w:val="0378ae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tcPr>
        <w:shd w:val="clear" w:color="ffffff" w:themeColor="accent3" w:themeTint="40" w:fill="fdc7aa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ab3b04" w:themeColor="accent3" w:themeTint="98" w:themeShade="95"/>
      </w:rPr>
    </w:tblStylePr>
    <w:tblStylePr w:type="firstRow">
      <w:rPr>
        <w:b/>
        <w:color w:val="ab3b04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ab3b04" w:themeColor="accent3" w:themeTint="98" w:themeShade="95"/>
      </w:rPr>
    </w:tblStylePr>
    <w:tblStylePr w:type="lastRow">
      <w:rPr>
        <w:b/>
        <w:color w:val="ab3b04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tcPr>
        <w:shd w:val="clear" w:color="ffffff" w:themeColor="accent4" w:themeTint="40" w:fill="f0aafd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9104ab" w:themeColor="accent4" w:themeTint="9A" w:themeShade="95"/>
      </w:rPr>
    </w:tblStylePr>
    <w:tblStylePr w:type="firstRow">
      <w:rPr>
        <w:b/>
        <w:color w:val="9104ab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9104ab" w:themeColor="accent4" w:themeTint="9A" w:themeShade="95"/>
      </w:rPr>
    </w:tblStylePr>
    <w:tblStylePr w:type="lastRow">
      <w:rPr>
        <w:b/>
        <w:color w:val="9104ab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tcPr>
        <w:shd w:val="clear" w:color="ffffff" w:themeColor="accent5" w:themeTint="40" w:fill="ffebb1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ba8700" w:themeColor="accent5" w:themeTint="9A" w:themeShade="95"/>
      </w:rPr>
    </w:tblStylePr>
    <w:tblStylePr w:type="firstRow">
      <w:rPr>
        <w:b/>
        <w:color w:val="ba870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ba8700" w:themeColor="accent5" w:themeTint="9A" w:themeShade="95"/>
      </w:rPr>
    </w:tblStylePr>
    <w:tblStylePr w:type="lastRow">
      <w:rPr>
        <w:b/>
        <w:color w:val="ba870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tcPr>
        <w:shd w:val="clear" w:color="ffffff" w:themeColor="accent6" w:themeTint="40" w:fill="f5c2c2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ad1a1a" w:themeColor="accent6" w:themeTint="98" w:themeShade="95"/>
      </w:rPr>
    </w:tblStylePr>
    <w:tblStylePr w:type="firstRow">
      <w:rPr>
        <w:b/>
        <w:color w:val="ad1a1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ad1a1a" w:themeColor="accent6" w:themeTint="98" w:themeShade="95"/>
      </w:rPr>
    </w:tblStylePr>
    <w:tblStylePr w:type="lastRow">
      <w:rPr>
        <w:b/>
        <w:color w:val="ad1a1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0e5e01" w:themeColor="accent1" w:themeShade="95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tcPr>
        <w:shd w:val="clear" w:color="ffffff" w:themeColor="accent1" w:themeTint="40" w:fill="b6fdaa" w:themeFill="accent1" w:themeFillTint="40"/>
      </w:tcPr>
    </w:tblStylePr>
    <w:tblStylePr w:type="band2Horz">
      <w:rPr>
        <w:rFonts w:ascii="Liberation Sans" w:hAnsi="Liberation Sans"/>
        <w:color w:val="0e5e01" w:themeColor="accent1" w:themeShade="95"/>
        <w:sz w:val="22"/>
      </w:rPr>
    </w:tblStylePr>
    <w:tblStylePr w:type="firstCol">
      <w:rPr>
        <w:rFonts w:ascii="Liberation Sans" w:hAnsi="Liberation Sans"/>
        <w:i/>
        <w:color w:val="0e5e0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0e5e0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0e5e0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0e5e0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0e5e0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0378ae" w:themeColor="accent2" w:themeTint="97" w:themeShade="95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tcPr>
        <w:shd w:val="clear" w:color="ffffff" w:themeColor="accent2" w:themeTint="40" w:fill="aae1fd" w:themeFill="accent2" w:themeFillTint="40"/>
      </w:tcPr>
    </w:tblStylePr>
    <w:tblStylePr w:type="band2Horz">
      <w:rPr>
        <w:rFonts w:ascii="Liberation Sans" w:hAnsi="Liberation Sans"/>
        <w:color w:val="0378ae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0378ae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0378ae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0378ae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ab3b04" w:themeColor="accent3" w:themeTint="98" w:themeShade="95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tcPr>
        <w:shd w:val="clear" w:color="ffffff" w:themeColor="accent3" w:themeTint="40" w:fill="fdc7aa" w:themeFill="accent3" w:themeFillTint="40"/>
      </w:tcPr>
    </w:tblStylePr>
    <w:tblStylePr w:type="band2Horz">
      <w:rPr>
        <w:rFonts w:ascii="Liberation Sans" w:hAnsi="Liberation Sans"/>
        <w:color w:val="ab3b04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ab3b04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ab3b04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ab3b04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ab3b04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ab3b04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9104ab" w:themeColor="accent4" w:themeTint="9A" w:themeShade="95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tcPr>
        <w:shd w:val="clear" w:color="ffffff" w:themeColor="accent4" w:themeTint="40" w:fill="f0aafd" w:themeFill="accent4" w:themeFillTint="40"/>
      </w:tcPr>
    </w:tblStylePr>
    <w:tblStylePr w:type="band2Horz">
      <w:rPr>
        <w:rFonts w:ascii="Liberation Sans" w:hAnsi="Liberation Sans"/>
        <w:color w:val="9104ab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9104ab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104ab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104ab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ba8700" w:themeColor="accent5" w:themeTint="9A" w:themeShade="95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tcPr>
        <w:shd w:val="clear" w:color="ffffff" w:themeColor="accent5" w:themeTint="40" w:fill="ffebb1" w:themeFill="accent5" w:themeFillTint="40"/>
      </w:tcPr>
    </w:tblStylePr>
    <w:tblStylePr w:type="band2Horz">
      <w:rPr>
        <w:rFonts w:ascii="Liberation Sans" w:hAnsi="Liberation Sans"/>
        <w:color w:val="ba870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ba870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ba870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a870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ba870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ba870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ad1a1a" w:themeColor="accent6" w:themeTint="98" w:themeShade="95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tcPr>
        <w:shd w:val="clear" w:color="ffffff" w:themeColor="accent6" w:themeTint="40" w:fill="f5c2c2" w:themeFill="accent6" w:themeFillTint="40"/>
      </w:tcPr>
    </w:tblStylePr>
    <w:tblStylePr w:type="band2Horz">
      <w:rPr>
        <w:rFonts w:ascii="Liberation Sans" w:hAnsi="Liberation Sans"/>
        <w:color w:val="ad1a1a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d1a1a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d1a1a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ad1a1a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ad1a1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ad1a1a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c99c00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c9211e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708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44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5">
    <w:name w:val="toc 4"/>
    <w:basedOn w:val="644"/>
    <w:next w:val="644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44"/>
    <w:next w:val="644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44"/>
    <w:next w:val="644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44"/>
    <w:next w:val="644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44"/>
    <w:next w:val="644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44"/>
    <w:next w:val="644"/>
    <w:uiPriority w:val="39"/>
    <w:unhideWhenUsed/>
    <w:pPr>
      <w:ind w:left="2268" w:right="0" w:firstLine="0"/>
      <w:spacing w:after="57"/>
    </w:pPr>
  </w:style>
  <w:style w:type="paragraph" w:styleId="192">
    <w:name w:val="table of figures"/>
    <w:basedOn w:val="644"/>
    <w:next w:val="644"/>
    <w:uiPriority w:val="99"/>
    <w:unhideWhenUsed/>
    <w:pPr>
      <w:spacing w:after="0" w:afterAutospacing="0"/>
    </w:pPr>
  </w:style>
  <w:style w:type="paragraph" w:styleId="644" w:default="1">
    <w:name w:val="Normal"/>
    <w:qFormat/>
    <w:pPr>
      <w:ind w:left="0" w:right="0" w:firstLine="709"/>
      <w:jc w:val="both"/>
      <w:spacing w:line="360" w:lineRule="auto"/>
      <w:widowControl/>
    </w:pPr>
    <w:rPr>
      <w:rFonts w:ascii="Times New Roman" w:hAnsi="Times New Roman" w:eastAsia="Calibri" w:cs="Times New Roman"/>
      <w:color w:val="auto"/>
      <w:sz w:val="28"/>
      <w:szCs w:val="22"/>
      <w:lang w:val="ru-RU" w:eastAsia="zh-CN" w:bidi="ar-SA"/>
    </w:rPr>
  </w:style>
  <w:style w:type="paragraph" w:styleId="645">
    <w:name w:val="Heading 1"/>
    <w:basedOn w:val="644"/>
    <w:next w:val="644"/>
    <w:qFormat/>
    <w:pPr>
      <w:numPr>
        <w:ilvl w:val="0"/>
        <w:numId w:val="1"/>
      </w:numPr>
      <w:ind w:left="1560" w:right="0" w:hanging="851"/>
      <w:keepLines/>
      <w:keepNext/>
      <w:pageBreakBefore/>
      <w:spacing w:before="0" w:after="240" w:line="240" w:lineRule="auto"/>
      <w:outlineLvl w:val="0"/>
    </w:pPr>
    <w:rPr>
      <w:rFonts w:eastAsia="Times New Roman"/>
      <w:b/>
      <w:bCs/>
      <w:sz w:val="20"/>
      <w:szCs w:val="28"/>
      <w:lang w:val="ru-RU"/>
    </w:rPr>
  </w:style>
  <w:style w:type="paragraph" w:styleId="646">
    <w:name w:val="Heading 2"/>
    <w:basedOn w:val="644"/>
    <w:next w:val="644"/>
    <w:qFormat/>
    <w:pPr>
      <w:numPr>
        <w:ilvl w:val="1"/>
        <w:numId w:val="1"/>
      </w:numPr>
      <w:ind w:left="1560" w:right="0" w:hanging="851"/>
      <w:keepLines/>
      <w:keepNext/>
      <w:spacing w:before="0" w:after="240" w:line="240" w:lineRule="auto"/>
      <w:outlineLvl w:val="1"/>
    </w:pPr>
    <w:rPr>
      <w:rFonts w:eastAsia="Times New Roman"/>
      <w:b/>
      <w:bCs/>
      <w:sz w:val="20"/>
      <w:szCs w:val="26"/>
      <w:lang w:val="ru-RU"/>
    </w:rPr>
  </w:style>
  <w:style w:type="paragraph" w:styleId="647">
    <w:name w:val="Heading 3"/>
    <w:basedOn w:val="644"/>
    <w:next w:val="644"/>
    <w:qFormat/>
    <w:pPr>
      <w:numPr>
        <w:ilvl w:val="2"/>
        <w:numId w:val="1"/>
      </w:num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48">
    <w:name w:val="Heading 9"/>
    <w:basedOn w:val="644"/>
    <w:next w:val="644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</w:rPr>
  </w:style>
  <w:style w:type="character" w:styleId="649">
    <w:name w:val="WW8Num3z0"/>
    <w:qFormat/>
    <w:rPr>
      <w:rFonts w:ascii="Symbol" w:hAnsi="Symbol" w:cs="Symbol"/>
    </w:rPr>
  </w:style>
  <w:style w:type="character" w:styleId="650">
    <w:name w:val="WW8Num3z1"/>
    <w:qFormat/>
    <w:rPr>
      <w:rFonts w:ascii="Courier New" w:hAnsi="Courier New" w:cs="Courier New"/>
    </w:rPr>
  </w:style>
  <w:style w:type="character" w:styleId="651">
    <w:name w:val="WW8Num3z2"/>
    <w:qFormat/>
    <w:rPr>
      <w:rFonts w:ascii="Wingdings" w:hAnsi="Wingdings" w:cs="Wingdings"/>
    </w:rPr>
  </w:style>
  <w:style w:type="character" w:styleId="652">
    <w:name w:val="WW8Num11z0"/>
    <w:qFormat/>
    <w:rPr>
      <w:rFonts w:cs="Times New Roman"/>
    </w:rPr>
  </w:style>
  <w:style w:type="character" w:styleId="653">
    <w:name w:val="WW8Num11z1"/>
    <w:qFormat/>
    <w:rPr>
      <w:rFonts w:cs="Times New Roman"/>
    </w:rPr>
  </w:style>
  <w:style w:type="character" w:styleId="654">
    <w:name w:val="WW8Num12z0"/>
    <w:qFormat/>
    <w:rPr>
      <w:rFonts w:cs="Times New Roman"/>
      <w:sz w:val="18"/>
      <w:szCs w:val="18"/>
    </w:rPr>
  </w:style>
  <w:style w:type="character" w:styleId="655">
    <w:name w:val="WW8Num12z1"/>
    <w:qFormat/>
    <w:rPr>
      <w:rFonts w:cs="Times New Roman"/>
    </w:rPr>
  </w:style>
  <w:style w:type="character" w:styleId="656">
    <w:name w:val="WW8Num17z1"/>
    <w:qFormat/>
  </w:style>
  <w:style w:type="character" w:styleId="657">
    <w:name w:val="WW8Num18z1"/>
    <w:qFormat/>
    <w:rPr>
      <w:b w:val="0"/>
    </w:rPr>
  </w:style>
  <w:style w:type="character" w:styleId="658">
    <w:name w:val="WW8Num19z1"/>
    <w:qFormat/>
    <w:rPr>
      <w:b w:val="0"/>
    </w:rPr>
  </w:style>
  <w:style w:type="character" w:styleId="659">
    <w:name w:val="WW8Num20z0"/>
    <w:qFormat/>
    <w:rPr>
      <w:rFonts w:cs="Times New Roman"/>
    </w:rPr>
  </w:style>
  <w:style w:type="character" w:styleId="660">
    <w:name w:val="WW8Num20z1"/>
    <w:qFormat/>
    <w:rPr>
      <w:rFonts w:cs="Times New Roman"/>
    </w:rPr>
  </w:style>
  <w:style w:type="character" w:styleId="661">
    <w:name w:val="WW8Num23z0"/>
    <w:qFormat/>
  </w:style>
  <w:style w:type="character" w:styleId="662">
    <w:name w:val="WW8Num25z1"/>
    <w:qFormat/>
    <w:rPr>
      <w:b w:val="0"/>
    </w:rPr>
  </w:style>
  <w:style w:type="character" w:styleId="663">
    <w:name w:val="WW8Num27z0"/>
    <w:qFormat/>
    <w:rPr>
      <w:b/>
    </w:rPr>
  </w:style>
  <w:style w:type="character" w:styleId="664">
    <w:name w:val="WW8Num27z1"/>
    <w:qFormat/>
    <w:rPr>
      <w:b w:val="0"/>
    </w:rPr>
  </w:style>
  <w:style w:type="character" w:styleId="665">
    <w:name w:val="WW8Num27z2"/>
    <w:qFormat/>
    <w:rPr>
      <w:b w:val="0"/>
    </w:rPr>
  </w:style>
  <w:style w:type="character" w:styleId="666">
    <w:name w:val="WW8Num28z0"/>
    <w:qFormat/>
  </w:style>
  <w:style w:type="character" w:styleId="667">
    <w:name w:val="WW8Num32z1"/>
    <w:qFormat/>
  </w:style>
  <w:style w:type="character" w:styleId="668">
    <w:name w:val="WW8Num33z1"/>
    <w:qFormat/>
    <w:rPr>
      <w:b w:val="0"/>
    </w:rPr>
  </w:style>
  <w:style w:type="character" w:styleId="669">
    <w:name w:val="WW8Num34z0"/>
    <w:qFormat/>
    <w:rPr>
      <w:b/>
    </w:rPr>
  </w:style>
  <w:style w:type="character" w:styleId="670">
    <w:name w:val="WW8Num37z0"/>
    <w:qFormat/>
    <w:rPr>
      <w:rFonts w:ascii="Times New Roman" w:hAnsi="Times New Roman" w:eastAsia="Times New Roman" w:cs="Times New Roman"/>
    </w:rPr>
  </w:style>
  <w:style w:type="character" w:styleId="671">
    <w:name w:val="WW8Num37z1"/>
    <w:qFormat/>
    <w:rPr>
      <w:rFonts w:ascii="Courier New" w:hAnsi="Courier New" w:cs="Courier New"/>
    </w:rPr>
  </w:style>
  <w:style w:type="character" w:styleId="672">
    <w:name w:val="WW8Num37z2"/>
    <w:qFormat/>
    <w:rPr>
      <w:rFonts w:ascii="Wingdings" w:hAnsi="Wingdings" w:cs="Wingdings"/>
    </w:rPr>
  </w:style>
  <w:style w:type="character" w:styleId="673">
    <w:name w:val="WW8Num37z3"/>
    <w:qFormat/>
    <w:rPr>
      <w:rFonts w:ascii="Symbol" w:hAnsi="Symbol" w:cs="Symbol"/>
    </w:rPr>
  </w:style>
  <w:style w:type="character" w:styleId="674">
    <w:name w:val="WW8Num38z0"/>
    <w:qFormat/>
    <w:rPr>
      <w:rFonts w:ascii="Symbol" w:hAnsi="Symbol" w:cs="Symbol"/>
    </w:rPr>
  </w:style>
  <w:style w:type="character" w:styleId="675">
    <w:name w:val="WW8Num38z1"/>
    <w:qFormat/>
    <w:rPr>
      <w:rFonts w:ascii="Courier New" w:hAnsi="Courier New" w:cs="Courier New"/>
    </w:rPr>
  </w:style>
  <w:style w:type="character" w:styleId="676">
    <w:name w:val="WW8Num38z2"/>
    <w:qFormat/>
    <w:rPr>
      <w:rFonts w:ascii="Wingdings" w:hAnsi="Wingdings" w:cs="Wingdings"/>
    </w:rPr>
  </w:style>
  <w:style w:type="character" w:styleId="677">
    <w:name w:val="WW8Num39z0"/>
    <w:qFormat/>
    <w:rPr>
      <w:rFonts w:cs="Times New Roman"/>
    </w:rPr>
  </w:style>
  <w:style w:type="character" w:styleId="678">
    <w:name w:val="WW8Num41z1"/>
    <w:qFormat/>
    <w:rPr>
      <w:rFonts w:ascii="Symbol" w:hAnsi="Symbol" w:cs="Symbol"/>
      <w:b w:val="0"/>
    </w:rPr>
  </w:style>
  <w:style w:type="character" w:styleId="679">
    <w:name w:val="WW8Num43z1"/>
    <w:qFormat/>
  </w:style>
  <w:style w:type="character" w:styleId="680">
    <w:name w:val="Основной шрифт абзаца"/>
    <w:qFormat/>
  </w:style>
  <w:style w:type="character" w:styleId="681">
    <w:name w:val="Заголовок 1 Знак"/>
    <w:qFormat/>
    <w:rPr>
      <w:rFonts w:eastAsia="Times New Roman" w:cs="Times New Roman"/>
      <w:b/>
      <w:bCs/>
      <w:szCs w:val="28"/>
    </w:rPr>
  </w:style>
  <w:style w:type="character" w:styleId="682">
    <w:name w:val="Заголовок 2 Знак"/>
    <w:qFormat/>
    <w:rPr>
      <w:rFonts w:eastAsia="Times New Roman" w:cs="Times New Roman"/>
      <w:b/>
      <w:bCs/>
      <w:szCs w:val="26"/>
    </w:rPr>
  </w:style>
  <w:style w:type="character" w:styleId="683">
    <w:name w:val="Верхний колонтитул Знак"/>
    <w:qFormat/>
    <w:rPr>
      <w:rFonts w:eastAsia="Calibri" w:cs="Times New Roman"/>
    </w:rPr>
  </w:style>
  <w:style w:type="character" w:styleId="684">
    <w:name w:val="Нижний колонтитул Знак"/>
    <w:qFormat/>
    <w:rPr>
      <w:lang w:val="ru-RU"/>
    </w:rPr>
  </w:style>
  <w:style w:type="character" w:styleId="685">
    <w:name w:val="Текст выноски Знак"/>
    <w:qFormat/>
    <w:rPr>
      <w:rFonts w:ascii="Tahoma" w:hAnsi="Tahoma" w:cs="Tahoma"/>
      <w:sz w:val="16"/>
      <w:szCs w:val="16"/>
    </w:rPr>
  </w:style>
  <w:style w:type="character" w:styleId="686">
    <w:name w:val="Текст сноски Знак"/>
    <w:qFormat/>
  </w:style>
  <w:style w:type="character" w:styleId="687">
    <w:name w:val="Символ сноски"/>
    <w:qFormat/>
    <w:rPr>
      <w:vertAlign w:val="superscript"/>
    </w:rPr>
  </w:style>
  <w:style w:type="character" w:styleId="688">
    <w:name w:val="Основной текст с отступом 2 Знак"/>
    <w:qFormat/>
    <w:rPr>
      <w:rFonts w:ascii="Arial" w:hAnsi="Arial" w:eastAsia="Times New Roman" w:cs="Arial"/>
      <w:sz w:val="28"/>
      <w:szCs w:val="28"/>
    </w:rPr>
  </w:style>
  <w:style w:type="character" w:styleId="689">
    <w:name w:val="short_text"/>
    <w:basedOn w:val="680"/>
    <w:qFormat/>
  </w:style>
  <w:style w:type="character" w:styleId="690">
    <w:name w:val="hps"/>
    <w:basedOn w:val="680"/>
    <w:qFormat/>
  </w:style>
  <w:style w:type="character" w:styleId="691">
    <w:name w:val="Основной текст 2 Знак"/>
    <w:qFormat/>
    <w:rPr>
      <w:spacing w:val="-4"/>
      <w:sz w:val="28"/>
      <w:szCs w:val="22"/>
      <w:lang w:val="ru-RU"/>
    </w:rPr>
  </w:style>
  <w:style w:type="character" w:styleId="692">
    <w:name w:val="Основной текст с отступом 3 Знак"/>
    <w:qFormat/>
    <w:rPr>
      <w:sz w:val="16"/>
      <w:szCs w:val="16"/>
    </w:rPr>
  </w:style>
  <w:style w:type="character" w:styleId="693">
    <w:name w:val="Hyperlink"/>
    <w:rPr>
      <w:color w:val="0000ff"/>
      <w:u w:val="single"/>
    </w:rPr>
  </w:style>
  <w:style w:type="character" w:styleId="694">
    <w:name w:val="Знак примечания"/>
    <w:qFormat/>
    <w:rPr>
      <w:sz w:val="16"/>
      <w:szCs w:val="16"/>
    </w:rPr>
  </w:style>
  <w:style w:type="character" w:styleId="695">
    <w:name w:val="Текст примечания Знак"/>
    <w:qFormat/>
  </w:style>
  <w:style w:type="character" w:styleId="696">
    <w:name w:val="Тема примечания Знак"/>
    <w:qFormat/>
    <w:rPr>
      <w:b/>
      <w:bCs/>
    </w:rPr>
  </w:style>
  <w:style w:type="character" w:styleId="697">
    <w:name w:val="FollowedHyperlink"/>
    <w:rPr>
      <w:color w:val="800080"/>
      <w:u w:val="single"/>
    </w:rPr>
  </w:style>
  <w:style w:type="paragraph" w:styleId="698">
    <w:name w:val="Заголовок"/>
    <w:basedOn w:val="644"/>
    <w:next w:val="699"/>
    <w:qFormat/>
    <w:pPr>
      <w:ind w:left="0" w:right="0" w:firstLine="0"/>
      <w:jc w:val="center"/>
      <w:spacing w:line="240" w:lineRule="auto"/>
    </w:pPr>
    <w:rPr>
      <w:rFonts w:ascii="Arial" w:hAnsi="Arial" w:eastAsia="Times New Roman" w:cs="Arial"/>
      <w:b/>
      <w:bCs/>
      <w:szCs w:val="28"/>
    </w:rPr>
  </w:style>
  <w:style w:type="paragraph" w:styleId="699">
    <w:name w:val="Body Text"/>
    <w:basedOn w:val="644"/>
    <w:pPr>
      <w:spacing w:before="0" w:after="120"/>
    </w:pPr>
  </w:style>
  <w:style w:type="paragraph" w:styleId="700">
    <w:name w:val="List"/>
    <w:basedOn w:val="699"/>
    <w:rPr>
      <w:rFonts w:cs="Droid Sans"/>
    </w:rPr>
  </w:style>
  <w:style w:type="paragraph" w:styleId="701">
    <w:name w:val="Caption"/>
    <w:basedOn w:val="644"/>
    <w:qFormat/>
    <w:pPr>
      <w:spacing w:before="120" w:after="120"/>
      <w:suppressLineNumbers/>
    </w:pPr>
    <w:rPr>
      <w:rFonts w:cs="Droid Sans"/>
      <w:i/>
      <w:iCs/>
      <w:sz w:val="24"/>
      <w:szCs w:val="24"/>
    </w:rPr>
  </w:style>
  <w:style w:type="paragraph" w:styleId="702">
    <w:name w:val="Указатель"/>
    <w:basedOn w:val="644"/>
    <w:qFormat/>
    <w:pPr>
      <w:suppressLineNumbers/>
    </w:pPr>
    <w:rPr>
      <w:rFonts w:cs="Droid Sans"/>
    </w:rPr>
  </w:style>
  <w:style w:type="paragraph" w:styleId="703">
    <w:name w:val="Абзац списка"/>
    <w:basedOn w:val="644"/>
    <w:qFormat/>
    <w:pPr>
      <w:contextualSpacing/>
      <w:ind w:left="720" w:right="0" w:firstLine="709"/>
      <w:spacing w:before="0" w:after="0"/>
    </w:pPr>
  </w:style>
  <w:style w:type="paragraph" w:styleId="704">
    <w:name w:val="Колонтитулы"/>
    <w:basedOn w:val="644"/>
    <w:qFormat/>
    <w:pPr>
      <w:tabs>
        <w:tab w:val="clear" w:pos="709" w:leader="none"/>
        <w:tab w:val="center" w:pos="4819" w:leader="none"/>
        <w:tab w:val="right" w:pos="9638" w:leader="none"/>
      </w:tabs>
      <w:suppressLineNumbers/>
    </w:pPr>
  </w:style>
  <w:style w:type="paragraph" w:styleId="705">
    <w:name w:val="Header"/>
    <w:basedOn w:val="644"/>
    <w:pPr>
      <w:spacing w:line="240" w:lineRule="auto"/>
      <w:tabs>
        <w:tab w:val="clear" w:pos="709" w:leader="none"/>
        <w:tab w:val="center" w:pos="4677" w:leader="none"/>
        <w:tab w:val="right" w:pos="9355" w:leader="none"/>
      </w:tabs>
    </w:pPr>
    <w:rPr>
      <w:sz w:val="20"/>
      <w:szCs w:val="20"/>
      <w:lang w:val="ru-RU"/>
    </w:rPr>
  </w:style>
  <w:style w:type="paragraph" w:styleId="706">
    <w:name w:val="Footer"/>
    <w:basedOn w:val="644"/>
    <w:pPr>
      <w:spacing w:line="240" w:lineRule="auto"/>
      <w:tabs>
        <w:tab w:val="clear" w:pos="709" w:leader="none"/>
        <w:tab w:val="center" w:pos="4677" w:leader="none"/>
        <w:tab w:val="right" w:pos="9355" w:leader="none"/>
      </w:tabs>
    </w:pPr>
    <w:rPr>
      <w:sz w:val="20"/>
      <w:szCs w:val="20"/>
      <w:lang w:val="ru-RU"/>
    </w:rPr>
  </w:style>
  <w:style w:type="paragraph" w:styleId="707">
    <w:name w:val="Текст выноски"/>
    <w:basedOn w:val="644"/>
    <w:qFormat/>
    <w:pPr>
      <w:spacing w:line="240" w:lineRule="auto"/>
    </w:pPr>
    <w:rPr>
      <w:rFonts w:ascii="Tahoma" w:hAnsi="Tahoma" w:cs="Tahoma"/>
      <w:sz w:val="16"/>
      <w:szCs w:val="16"/>
      <w:lang w:val="ru-RU"/>
    </w:rPr>
  </w:style>
  <w:style w:type="paragraph" w:styleId="708">
    <w:name w:val="footnote text"/>
    <w:basedOn w:val="644"/>
    <w:rPr>
      <w:sz w:val="20"/>
      <w:szCs w:val="20"/>
      <w:lang w:val="ru-RU"/>
    </w:rPr>
  </w:style>
  <w:style w:type="paragraph" w:styleId="709">
    <w:name w:val="Основной текст с отступом 2"/>
    <w:basedOn w:val="644"/>
    <w:qFormat/>
    <w:pPr>
      <w:ind w:left="0" w:right="-1" w:firstLine="709"/>
      <w:spacing w:line="240" w:lineRule="auto"/>
    </w:pPr>
    <w:rPr>
      <w:rFonts w:ascii="Arial" w:hAnsi="Arial" w:eastAsia="Times New Roman" w:cs="Arial"/>
      <w:szCs w:val="28"/>
      <w:lang w:val="ru-RU"/>
    </w:rPr>
  </w:style>
  <w:style w:type="paragraph" w:styleId="710">
    <w:name w:val="Heading"/>
    <w:qFormat/>
    <w:pPr>
      <w:widowControl/>
    </w:pPr>
    <w:rPr>
      <w:rFonts w:ascii="Consultant;Courier New" w:hAnsi="Consultant;Courier New" w:eastAsia="Times New Roman" w:cs="Consultant;Courier New"/>
      <w:b/>
      <w:bCs/>
      <w:color w:val="auto"/>
      <w:sz w:val="22"/>
      <w:szCs w:val="22"/>
      <w:lang w:val="ru-RU" w:eastAsia="zh-CN" w:bidi="ar-SA"/>
    </w:rPr>
  </w:style>
  <w:style w:type="paragraph" w:styleId="711">
    <w:name w:val="Многоуровневый 2"/>
    <w:basedOn w:val="644"/>
    <w:qFormat/>
    <w:pPr>
      <w:ind w:left="0" w:right="0" w:firstLine="0"/>
      <w:jc w:val="left"/>
      <w:spacing w:before="20" w:after="0" w:line="240" w:lineRule="auto"/>
      <w:widowControl w:val="off"/>
    </w:pPr>
    <w:rPr>
      <w:rFonts w:eastAsia="Times New Roman"/>
      <w:sz w:val="24"/>
      <w:szCs w:val="24"/>
    </w:rPr>
  </w:style>
  <w:style w:type="paragraph" w:styleId="712">
    <w:name w:val="Основной текст 2"/>
    <w:basedOn w:val="644"/>
    <w:qFormat/>
    <w:pPr>
      <w:spacing w:line="240" w:lineRule="auto"/>
      <w:tabs>
        <w:tab w:val="left" w:pos="-180" w:leader="none"/>
        <w:tab w:val="clear" w:pos="709" w:leader="none"/>
      </w:tabs>
    </w:pPr>
    <w:rPr>
      <w:spacing w:val="-4"/>
      <w:lang w:val="ru-RU"/>
    </w:rPr>
  </w:style>
  <w:style w:type="paragraph" w:styleId="713">
    <w:name w:val="Основной текст с отступом 3"/>
    <w:basedOn w:val="644"/>
    <w:qFormat/>
    <w:pPr>
      <w:ind w:left="283" w:right="0" w:firstLine="709"/>
      <w:spacing w:before="0" w:after="120"/>
    </w:pPr>
    <w:rPr>
      <w:sz w:val="16"/>
      <w:szCs w:val="16"/>
      <w:lang w:val="ru-RU"/>
    </w:rPr>
  </w:style>
  <w:style w:type="paragraph" w:styleId="714">
    <w:name w:val="toc 1"/>
    <w:basedOn w:val="644"/>
    <w:next w:val="644"/>
    <w:pPr>
      <w:ind w:left="0" w:right="0" w:firstLine="0"/>
      <w:spacing w:before="120" w:after="120" w:line="240" w:lineRule="auto"/>
      <w:tabs>
        <w:tab w:val="left" w:pos="567" w:leader="none"/>
        <w:tab w:val="clear" w:pos="709" w:leader="none"/>
        <w:tab w:val="right" w:pos="9345" w:leader="dot"/>
      </w:tabs>
    </w:pPr>
  </w:style>
  <w:style w:type="paragraph" w:styleId="715">
    <w:name w:val="toc 2"/>
    <w:basedOn w:val="644"/>
    <w:next w:val="644"/>
    <w:pPr>
      <w:ind w:left="284" w:right="0" w:firstLine="0"/>
      <w:tabs>
        <w:tab w:val="clear" w:pos="709" w:leader="none"/>
        <w:tab w:val="left" w:pos="1134" w:leader="none"/>
        <w:tab w:val="right" w:pos="9345" w:leader="dot"/>
      </w:tabs>
    </w:pPr>
  </w:style>
  <w:style w:type="paragraph" w:styleId="716">
    <w:name w:val="Основной текст 3"/>
    <w:basedOn w:val="644"/>
    <w:qFormat/>
    <w:pPr>
      <w:spacing w:before="0" w:after="120"/>
    </w:pPr>
    <w:rPr>
      <w:sz w:val="16"/>
      <w:szCs w:val="16"/>
    </w:rPr>
  </w:style>
  <w:style w:type="paragraph" w:styleId="717">
    <w:name w:val="Без отступа"/>
    <w:basedOn w:val="644"/>
    <w:qFormat/>
    <w:pPr>
      <w:ind w:left="0" w:right="0" w:firstLine="0"/>
      <w:spacing w:line="240" w:lineRule="auto"/>
    </w:pPr>
    <w:rPr>
      <w:rFonts w:ascii="Pragmatica;Times New Roman" w:hAnsi="Pragmatica;Times New Roman" w:eastAsia="Times New Roman" w:cs="Pragmatica;Times New Roman"/>
      <w:sz w:val="24"/>
      <w:szCs w:val="24"/>
    </w:rPr>
  </w:style>
  <w:style w:type="paragraph" w:styleId="718">
    <w:name w:val="Preformat"/>
    <w:qFormat/>
    <w:pPr>
      <w:widowControl/>
    </w:pPr>
    <w:rPr>
      <w:rFonts w:ascii="Courier New" w:hAnsi="Courier New" w:eastAsia="Times New Roman" w:cs="Courier New"/>
      <w:color w:val="auto"/>
      <w:sz w:val="20"/>
      <w:szCs w:val="20"/>
      <w:lang w:val="ru-RU" w:eastAsia="zh-CN" w:bidi="ar-SA"/>
    </w:rPr>
  </w:style>
  <w:style w:type="paragraph" w:styleId="719">
    <w:name w:val="Nonformat"/>
    <w:basedOn w:val="644"/>
    <w:qFormat/>
    <w:pPr>
      <w:ind w:left="0" w:right="0" w:firstLine="0"/>
      <w:jc w:val="left"/>
      <w:spacing w:line="240" w:lineRule="auto"/>
    </w:pPr>
    <w:rPr>
      <w:rFonts w:ascii="Courier New" w:hAnsi="Courier New" w:eastAsia="Times New Roman" w:cs="Courier New"/>
      <w:sz w:val="24"/>
      <w:szCs w:val="24"/>
    </w:rPr>
  </w:style>
  <w:style w:type="paragraph" w:styleId="720">
    <w:name w:val="Заголовок_1"/>
    <w:basedOn w:val="644"/>
    <w:qFormat/>
    <w:pPr>
      <w:ind w:left="0" w:right="0" w:firstLine="0"/>
      <w:jc w:val="center"/>
      <w:spacing w:line="240" w:lineRule="auto"/>
    </w:pPr>
    <w:rPr>
      <w:rFonts w:ascii="Pragmatica;Times New Roman" w:hAnsi="Pragmatica;Times New Roman" w:eastAsia="Times New Roman" w:cs="Pragmatica;Times New Roman"/>
      <w:b/>
      <w:bCs/>
      <w:sz w:val="24"/>
      <w:szCs w:val="24"/>
    </w:rPr>
  </w:style>
  <w:style w:type="paragraph" w:styleId="721">
    <w:name w:val="Текст примечания"/>
    <w:basedOn w:val="644"/>
    <w:qFormat/>
    <w:rPr>
      <w:sz w:val="20"/>
      <w:szCs w:val="20"/>
      <w:lang w:val="ru-RU"/>
    </w:rPr>
  </w:style>
  <w:style w:type="paragraph" w:styleId="722">
    <w:name w:val="Тема примечания"/>
    <w:basedOn w:val="721"/>
    <w:next w:val="721"/>
    <w:qFormat/>
    <w:rPr>
      <w:b/>
      <w:bCs/>
    </w:rPr>
  </w:style>
  <w:style w:type="paragraph" w:styleId="723">
    <w:name w:val="Рецензия"/>
    <w:qFormat/>
    <w:pPr>
      <w:widowControl/>
    </w:pPr>
    <w:rPr>
      <w:rFonts w:ascii="Times New Roman" w:hAnsi="Times New Roman" w:eastAsia="Calibri" w:cs="Times New Roman"/>
      <w:color w:val="auto"/>
      <w:sz w:val="28"/>
      <w:szCs w:val="22"/>
      <w:lang w:val="ru-RU" w:eastAsia="zh-CN" w:bidi="ar-SA"/>
    </w:rPr>
  </w:style>
  <w:style w:type="paragraph" w:styleId="724">
    <w:name w:val="index heading"/>
    <w:basedOn w:val="698"/>
    <w:pPr>
      <w:ind w:left="0" w:firstLine="0"/>
      <w:suppressLineNumbers/>
    </w:pPr>
    <w:rPr>
      <w:b/>
      <w:bCs/>
      <w:sz w:val="32"/>
      <w:szCs w:val="32"/>
    </w:rPr>
  </w:style>
  <w:style w:type="paragraph" w:styleId="725">
    <w:name w:val="TOC Heading"/>
    <w:basedOn w:val="645"/>
    <w:next w:val="644"/>
    <w:qFormat/>
    <w:pPr>
      <w:numPr>
        <w:ilvl w:val="0"/>
        <w:numId w:val="0"/>
      </w:numPr>
      <w:ind w:left="0" w:right="0" w:firstLine="0"/>
      <w:jc w:val="left"/>
      <w:pageBreakBefore w:val="0"/>
      <w:spacing w:before="480" w:after="0" w:line="276" w:lineRule="auto"/>
      <w:outlineLvl w:val="9"/>
    </w:pPr>
    <w:rPr>
      <w:rFonts w:ascii="Cambria" w:hAnsi="Cambria" w:eastAsia="Times New Roman" w:cs="Times New Roman"/>
      <w:color w:val="365f91"/>
    </w:rPr>
  </w:style>
  <w:style w:type="paragraph" w:styleId="726">
    <w:name w:val="toc 3"/>
    <w:basedOn w:val="644"/>
    <w:next w:val="644"/>
    <w:pPr>
      <w:ind w:left="0" w:right="0" w:firstLine="0"/>
      <w:tabs>
        <w:tab w:val="clear" w:pos="709" w:leader="none"/>
        <w:tab w:val="right" w:pos="9627" w:leader="dot"/>
      </w:tabs>
    </w:pPr>
  </w:style>
  <w:style w:type="paragraph" w:styleId="727">
    <w:name w:val="Обычный (веб)"/>
    <w:basedOn w:val="644"/>
    <w:qFormat/>
    <w:pPr>
      <w:ind w:left="0" w:right="0" w:firstLine="0"/>
      <w:jc w:val="left"/>
      <w:spacing w:before="240" w:after="240" w:line="240" w:lineRule="auto"/>
    </w:pPr>
    <w:rPr>
      <w:rFonts w:eastAsia="Times New Roman"/>
      <w:sz w:val="24"/>
      <w:szCs w:val="24"/>
    </w:rPr>
  </w:style>
  <w:style w:type="paragraph" w:styleId="728">
    <w:name w:val="ConsPlusNormal"/>
    <w:qFormat/>
    <w:pPr>
      <w:widowControl/>
    </w:pPr>
    <w:rPr>
      <w:rFonts w:ascii="Times New Roman" w:hAnsi="Times New Roman" w:eastAsia="Calibri" w:cs="Times New Roman"/>
      <w:color w:val="auto"/>
      <w:sz w:val="20"/>
      <w:szCs w:val="20"/>
      <w:lang w:val="ru-RU" w:eastAsia="zh-CN" w:bidi="ar-SA"/>
    </w:rPr>
  </w:style>
  <w:style w:type="paragraph" w:styleId="729">
    <w:name w:val="Содержимое таблицы"/>
    <w:basedOn w:val="644"/>
    <w:qFormat/>
    <w:pPr>
      <w:widowControl w:val="off"/>
      <w:suppressLineNumbers/>
    </w:pPr>
  </w:style>
  <w:style w:type="paragraph" w:styleId="730">
    <w:name w:val="Заголовок таблицы"/>
    <w:basedOn w:val="729"/>
    <w:qFormat/>
    <w:pPr>
      <w:jc w:val="center"/>
      <w:suppressLineNumbers/>
    </w:pPr>
    <w:rPr>
      <w:b/>
      <w:bCs/>
    </w:rPr>
  </w:style>
  <w:style w:type="numbering" w:styleId="731">
    <w:name w:val="WW8Num1"/>
    <w:qFormat/>
  </w:style>
  <w:style w:type="numbering" w:styleId="732">
    <w:name w:val="WW8Num2"/>
    <w:qFormat/>
  </w:style>
  <w:style w:type="numbering" w:styleId="733">
    <w:name w:val="WW8Num3"/>
    <w:qFormat/>
  </w:style>
  <w:style w:type="numbering" w:styleId="734">
    <w:name w:val="WW8Num4"/>
    <w:qFormat/>
  </w:style>
  <w:style w:type="numbering" w:styleId="735">
    <w:name w:val="WW8Num5"/>
    <w:qFormat/>
  </w:style>
  <w:style w:type="numbering" w:styleId="736">
    <w:name w:val="WW8Num6"/>
    <w:qFormat/>
  </w:style>
  <w:style w:type="numbering" w:styleId="737">
    <w:name w:val="WW8Num7"/>
    <w:qFormat/>
  </w:style>
  <w:style w:type="numbering" w:styleId="738">
    <w:name w:val="WW8Num8"/>
    <w:qFormat/>
  </w:style>
  <w:style w:type="numbering" w:styleId="739">
    <w:name w:val="WW8Num9"/>
    <w:qFormat/>
  </w:style>
  <w:style w:type="numbering" w:styleId="740">
    <w:name w:val="WW8Num10"/>
    <w:qFormat/>
  </w:style>
  <w:style w:type="numbering" w:styleId="741">
    <w:name w:val="WW8Num11"/>
    <w:qFormat/>
  </w:style>
  <w:style w:type="numbering" w:styleId="742">
    <w:name w:val="WW8Num12"/>
    <w:qFormat/>
  </w:style>
  <w:style w:type="numbering" w:styleId="743">
    <w:name w:val="WW8Num13"/>
    <w:qFormat/>
  </w:style>
  <w:style w:type="numbering" w:styleId="744">
    <w:name w:val="WW8Num14"/>
    <w:qFormat/>
  </w:style>
  <w:style w:type="numbering" w:styleId="745">
    <w:name w:val="WW8Num15"/>
    <w:qFormat/>
  </w:style>
  <w:style w:type="numbering" w:styleId="746">
    <w:name w:val="WW8Num16"/>
    <w:qFormat/>
  </w:style>
  <w:style w:type="numbering" w:styleId="747">
    <w:name w:val="WW8Num17"/>
    <w:qFormat/>
  </w:style>
  <w:style w:type="numbering" w:styleId="748">
    <w:name w:val="WW8Num18"/>
    <w:qFormat/>
  </w:style>
  <w:style w:type="numbering" w:styleId="749">
    <w:name w:val="WW8Num19"/>
    <w:qFormat/>
  </w:style>
  <w:style w:type="numbering" w:styleId="750">
    <w:name w:val="WW8Num20"/>
    <w:qFormat/>
  </w:style>
  <w:style w:type="numbering" w:styleId="751">
    <w:name w:val="WW8Num21"/>
    <w:qFormat/>
  </w:style>
  <w:style w:type="numbering" w:styleId="752">
    <w:name w:val="WW8Num22"/>
    <w:qFormat/>
  </w:style>
  <w:style w:type="numbering" w:styleId="753">
    <w:name w:val="WW8Num23"/>
    <w:qFormat/>
  </w:style>
  <w:style w:type="numbering" w:styleId="754">
    <w:name w:val="WW8Num24"/>
    <w:qFormat/>
  </w:style>
  <w:style w:type="numbering" w:styleId="755">
    <w:name w:val="WW8Num25"/>
    <w:qFormat/>
  </w:style>
  <w:style w:type="numbering" w:styleId="756">
    <w:name w:val="WW8Num26"/>
    <w:qFormat/>
  </w:style>
  <w:style w:type="numbering" w:styleId="757">
    <w:name w:val="WW8Num27"/>
    <w:qFormat/>
  </w:style>
  <w:style w:type="numbering" w:styleId="758">
    <w:name w:val="WW8Num28"/>
    <w:qFormat/>
  </w:style>
  <w:style w:type="numbering" w:styleId="759">
    <w:name w:val="WW8Num29"/>
    <w:qFormat/>
  </w:style>
  <w:style w:type="numbering" w:styleId="760">
    <w:name w:val="WW8Num30"/>
    <w:qFormat/>
  </w:style>
  <w:style w:type="numbering" w:styleId="761">
    <w:name w:val="WW8Num31"/>
    <w:qFormat/>
  </w:style>
  <w:style w:type="numbering" w:styleId="762">
    <w:name w:val="WW8Num32"/>
    <w:qFormat/>
  </w:style>
  <w:style w:type="numbering" w:styleId="763">
    <w:name w:val="WW8Num33"/>
    <w:qFormat/>
  </w:style>
  <w:style w:type="numbering" w:styleId="764">
    <w:name w:val="WW8Num34"/>
    <w:qFormat/>
  </w:style>
  <w:style w:type="numbering" w:styleId="765">
    <w:name w:val="WW8Num35"/>
    <w:qFormat/>
  </w:style>
  <w:style w:type="numbering" w:styleId="766">
    <w:name w:val="WW8Num36"/>
    <w:qFormat/>
  </w:style>
  <w:style w:type="numbering" w:styleId="767">
    <w:name w:val="WW8Num37"/>
    <w:qFormat/>
  </w:style>
  <w:style w:type="numbering" w:styleId="768">
    <w:name w:val="WW8Num38"/>
    <w:qFormat/>
  </w:style>
  <w:style w:type="numbering" w:styleId="769">
    <w:name w:val="WW8Num39"/>
    <w:qFormat/>
  </w:style>
  <w:style w:type="numbering" w:styleId="770">
    <w:name w:val="WW8Num40"/>
    <w:qFormat/>
  </w:style>
  <w:style w:type="numbering" w:styleId="771">
    <w:name w:val="WW8Num41"/>
    <w:qFormat/>
  </w:style>
  <w:style w:type="numbering" w:styleId="772">
    <w:name w:val="WW8Num42"/>
    <w:qFormat/>
  </w:style>
  <w:style w:type="numbering" w:styleId="773">
    <w:name w:val="WW8Num43"/>
    <w:qFormat/>
  </w:style>
  <w:style w:type="numbering" w:styleId="774">
    <w:name w:val="WW8Num44"/>
    <w:qFormat/>
  </w:style>
  <w:style w:type="numbering" w:styleId="775">
    <w:name w:val="WW8Num45"/>
    <w:qFormat/>
  </w:style>
  <w:style w:type="numbering" w:styleId="776">
    <w:name w:val="WW8Num46"/>
    <w:qFormat/>
  </w:style>
  <w:style w:type="character" w:styleId="1224" w:default="1">
    <w:name w:val="Default Paragraph Font"/>
    <w:uiPriority w:val="1"/>
    <w:semiHidden/>
    <w:unhideWhenUsed/>
  </w:style>
  <w:style w:type="numbering" w:styleId="1225" w:default="1">
    <w:name w:val="No List"/>
    <w:uiPriority w:val="99"/>
    <w:semiHidden/>
    <w:unhideWhenUsed/>
  </w:style>
  <w:style w:type="table" w:styleId="122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Лавский Владимир Владимирович</dc:creator>
  <cp:keywords/>
  <dc:description/>
  <dc:language>ru-RU</dc:language>
  <cp:lastModifiedBy>zaninaoa</cp:lastModifiedBy>
  <cp:revision>6</cp:revision>
  <dcterms:created xsi:type="dcterms:W3CDTF">2026-07-03T08:22:00Z</dcterms:created>
  <dcterms:modified xsi:type="dcterms:W3CDTF">2026-08-25T09:45:16Z</dcterms:modified>
</cp:coreProperties>
</file>