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FORMATTEXT"/>
        <w:rPr/>
      </w:pPr>
      <w:r>
        <w:rPr>
          <w:rFonts w:ascii="Arial, sans-serif" w:hAnsi="Arial, sans-serif"/>
          <w:sz w:val="24"/>
          <w:szCs w:val="24"/>
        </w:rPr>
        <w:t xml:space="preserve">  </w:t>
      </w:r>
      <w:r>
        <w:rPr/>
        <w:t xml:space="preserve">      </w:t>
      </w:r>
    </w:p>
    <w:p>
      <w:pPr>
        <w:pStyle w:val="FORMATTEXT"/>
        <w:rPr/>
      </w:pPr>
      <w:r>
        <w:rPr/>
      </w:r>
    </w:p>
    <w:p>
      <w:pPr>
        <w:pStyle w:val="BodyText"/>
        <w:jc w:val="right"/>
        <w:rPr>
          <w:color w:val="000000"/>
        </w:rPr>
      </w:pPr>
      <w:r>
        <w:rPr>
          <w:rFonts w:ascii="Arial, sans-serif" w:hAnsi="Arial, sans-serif"/>
          <w:color w:val="000000"/>
          <w:sz w:val="24"/>
          <w:szCs w:val="24"/>
        </w:rPr>
        <w:t>Утверждены</w:t>
      </w:r>
    </w:p>
    <w:p>
      <w:pPr>
        <w:pStyle w:val="BodyText"/>
        <w:spacing w:lineRule="atLeast" w:line="285"/>
        <w:jc w:val="right"/>
        <w:rPr/>
      </w:pPr>
      <w:r>
        <w:rPr/>
        <w:t xml:space="preserve">постановлением Правительства </w:t>
      </w:r>
    </w:p>
    <w:p>
      <w:pPr>
        <w:pStyle w:val="BodyText"/>
        <w:spacing w:lineRule="atLeast" w:line="285"/>
        <w:jc w:val="right"/>
        <w:rPr/>
      </w:pPr>
      <w:r>
        <w:rPr/>
        <w:t xml:space="preserve">Российской Федерации </w:t>
      </w:r>
    </w:p>
    <w:p>
      <w:pPr>
        <w:pStyle w:val="BodyText"/>
        <w:spacing w:lineRule="atLeast" w:line="285"/>
        <w:jc w:val="right"/>
        <w:rPr/>
      </w:pPr>
      <w:r>
        <w:rPr/>
        <w:t xml:space="preserve">от 14 мая 2013 г. N 410 </w:t>
      </w:r>
    </w:p>
    <w:p>
      <w:pPr>
        <w:pStyle w:val="BodyText"/>
        <w:spacing w:lineRule="atLeast" w:line="285"/>
        <w:jc w:val="right"/>
        <w:rPr/>
      </w:pPr>
      <w:r>
        <w:rPr/>
        <w:t xml:space="preserve">  </w:t>
      </w:r>
    </w:p>
    <w:p>
      <w:pPr>
        <w:pStyle w:val="BodyText"/>
        <w:spacing w:lineRule="auto" w:line="312" w:before="0" w:after="0"/>
        <w:jc w:val="center"/>
        <w:rPr>
          <w:rFonts w:ascii="Arial" w:hAnsi="Arial"/>
          <w:b/>
          <w:sz w:val="24"/>
        </w:rPr>
      </w:pPr>
      <w:r>
        <w:rPr>
          <w:rFonts w:ascii="Arial" w:hAnsi="Arial"/>
          <w:b/>
          <w:sz w:val="24"/>
        </w:rPr>
        <w:t xml:space="preserve">ПРАВИЛА </w:t>
      </w:r>
    </w:p>
    <w:p>
      <w:pPr>
        <w:pStyle w:val="BodyText"/>
        <w:spacing w:lineRule="auto" w:line="312" w:before="0" w:after="0"/>
        <w:jc w:val="center"/>
        <w:rPr>
          <w:rFonts w:ascii="Arial" w:hAnsi="Arial"/>
          <w:b/>
          <w:sz w:val="24"/>
        </w:rPr>
      </w:pPr>
      <w:r>
        <w:rPr>
          <w:rFonts w:ascii="Arial" w:hAnsi="Arial"/>
          <w:b/>
          <w:sz w:val="24"/>
        </w:rPr>
        <w:t xml:space="preserve">ПОЛЬЗОВАНИЯ ГАЗОМ В ЧАСТИ ОБЕСПЕЧЕНИЯ БЕЗОПАСНОСТИ </w:t>
      </w:r>
    </w:p>
    <w:p>
      <w:pPr>
        <w:pStyle w:val="BodyText"/>
        <w:spacing w:lineRule="auto" w:line="312" w:before="0" w:after="0"/>
        <w:jc w:val="center"/>
        <w:rPr>
          <w:rFonts w:ascii="Arial" w:hAnsi="Arial"/>
          <w:b/>
          <w:sz w:val="24"/>
        </w:rPr>
      </w:pPr>
      <w:r>
        <w:rPr>
          <w:rFonts w:ascii="Arial" w:hAnsi="Arial"/>
          <w:b/>
          <w:sz w:val="24"/>
        </w:rPr>
        <w:t xml:space="preserve">ПРИ ИСПОЛЬЗОВАНИИ И СОДЕРЖАНИИ ВНУТРИДОМОВОГО </w:t>
      </w:r>
    </w:p>
    <w:p>
      <w:pPr>
        <w:pStyle w:val="BodyText"/>
        <w:spacing w:lineRule="auto" w:line="312" w:before="0" w:after="0"/>
        <w:jc w:val="center"/>
        <w:rPr>
          <w:rFonts w:ascii="Arial" w:hAnsi="Arial"/>
          <w:b/>
          <w:sz w:val="24"/>
        </w:rPr>
      </w:pPr>
      <w:r>
        <w:rPr>
          <w:rFonts w:ascii="Arial" w:hAnsi="Arial"/>
          <w:b/>
          <w:sz w:val="24"/>
        </w:rPr>
        <w:t xml:space="preserve">И ВНУТРИКВАРТИРНОГО ГАЗОВОГО ОБОРУДОВАНИЯ </w:t>
      </w:r>
    </w:p>
    <w:p>
      <w:pPr>
        <w:pStyle w:val="BodyText"/>
        <w:spacing w:lineRule="auto" w:line="312" w:before="0" w:after="0"/>
        <w:jc w:val="center"/>
        <w:rPr>
          <w:rFonts w:ascii="Arial" w:hAnsi="Arial"/>
          <w:b/>
          <w:sz w:val="24"/>
        </w:rPr>
      </w:pPr>
      <w:r>
        <w:rPr>
          <w:rFonts w:ascii="Arial" w:hAnsi="Arial"/>
          <w:b/>
          <w:sz w:val="24"/>
        </w:rPr>
        <w:t xml:space="preserve">ПРИ ПРЕДОСТАВЛЕНИИ КОММУНАЛЬНОЙ УСЛУГИ </w:t>
      </w:r>
    </w:p>
    <w:p>
      <w:pPr>
        <w:pStyle w:val="BodyText"/>
        <w:spacing w:lineRule="auto" w:line="312" w:before="0" w:after="0"/>
        <w:jc w:val="center"/>
        <w:rPr>
          <w:rFonts w:ascii="Arial" w:hAnsi="Arial"/>
          <w:b/>
          <w:sz w:val="24"/>
        </w:rPr>
      </w:pPr>
      <w:r>
        <w:rPr>
          <w:rFonts w:ascii="Arial" w:hAnsi="Arial"/>
          <w:b/>
          <w:sz w:val="24"/>
        </w:rPr>
        <w:t xml:space="preserve">ПО ГАЗОСНАБЖЕНИЮ </w:t>
      </w:r>
    </w:p>
    <w:p>
      <w:pPr>
        <w:pStyle w:val="BodyText"/>
        <w:jc w:val="center"/>
        <w:rPr/>
      </w:pPr>
      <w:r>
        <w:rPr/>
      </w:r>
    </w:p>
    <w:p>
      <w:pPr>
        <w:pStyle w:val="BodyText"/>
        <w:jc w:val="center"/>
        <w:rPr/>
      </w:pPr>
      <w:r>
        <w:rPr>
          <w:rFonts w:ascii="Arial" w:hAnsi="Arial"/>
          <w:b/>
          <w:sz w:val="24"/>
        </w:rPr>
        <w:t>I. Общие положения</w:t>
      </w:r>
      <w:r>
        <w:rPr/>
        <w:t xml:space="preserve"> </w:t>
      </w:r>
    </w:p>
    <w:p>
      <w:pPr>
        <w:pStyle w:val="BodyText"/>
        <w:jc w:val="both"/>
        <w:rPr>
          <w:rFonts w:ascii="Times New Roman" w:hAnsi="Times New Roman" w:cs="Times New Roman"/>
          <w:sz w:val="28"/>
          <w:szCs w:val="28"/>
        </w:rPr>
      </w:pPr>
      <w:r>
        <w:rPr>
          <w:rFonts w:eastAsia="Times New Roman" w:cs="Times New Roman" w:ascii="Times New Roman" w:hAnsi="Times New Roman"/>
          <w:color w:val="000000"/>
          <w:sz w:val="28"/>
          <w:szCs w:val="28"/>
        </w:rPr>
        <w:t>1. Настоящие Правила устанавливают порядок пользования газом в части обеспечения безопасного использования и содержания внутридомового газового оборудования и внутриквартирного газового оборудования при предоставлении коммунальной услуги по газоснабжению, порядок технического обслуживания и ремонта внутридомового газового оборудования в многоквартирном доме, технического обслуживания внутриквартирного газового оборудования в многоквартирном доме и технического обслуживания внутридомового газового оборудования в жилом доме, предусмотренных минимальным перечнем услуг (работ) по техническому обслуживанию и ремонту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согласно приложению, установки (за исключением случаев, предусмотренных Правилами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утвержденными постановлением Правительства Российской Федерации от 13 сентября 2021 г. N 1547 "Об утверждении Правил подключения (технологического</w:t>
      </w:r>
      <w:r>
        <w:rPr>
          <w:rFonts w:eastAsia="Times New Roman" w:cs="Times New Roman" w:ascii="Times New Roman" w:hAnsi="Times New Roman"/>
          <w:color w:val="0000FF"/>
          <w:sz w:val="28"/>
          <w:szCs w:val="28"/>
        </w:rPr>
        <w:t xml:space="preserve"> </w:t>
      </w:r>
      <w:r>
        <w:rPr>
          <w:rFonts w:eastAsia="Times New Roman" w:cs="Times New Roman" w:ascii="Times New Roman" w:hAnsi="Times New Roman"/>
          <w:color w:val="000000"/>
          <w:sz w:val="28"/>
          <w:szCs w:val="28"/>
        </w:rPr>
        <w:t>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 (далее - правила технологического присоединения газоиспользующего оборудования к газораспределительным сетям), и замены такого оборудования, в том числе требования к лицам, осуществляющим деятельность по техническому обслуживанию и ремонту, установке, замене внутридомового газового оборудования в многоквартирном доме, техническому обслуживанию и установке, замене внутриквартирного газового оборудования в многоквартирном доме и техническому обслуживанию, установке, замене внутридомового газового оборудования в жилом доме, а также работы по техническому диагностированию газопроводов, входящих в состав внутридомового и (или) внутриквартирного газового оборудования, порядок и условия заключения, изменения и расторжения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 (далее - договор о техническом обслуживании внутридомового газового оборудования в жилом доме</w:t>
      </w:r>
      <w:r>
        <w:rPr>
          <w:rFonts w:eastAsia="Times New Roman" w:cs="Times New Roman" w:ascii="Times New Roman" w:hAnsi="Times New Roman"/>
          <w:color w:val="0000FF"/>
          <w:sz w:val="28"/>
          <w:szCs w:val="28"/>
        </w:rPr>
        <w:t xml:space="preserve"> </w:t>
      </w:r>
      <w:r>
        <w:rPr>
          <w:rFonts w:eastAsia="Times New Roman" w:cs="Times New Roman" w:ascii="Times New Roman" w:hAnsi="Times New Roman"/>
          <w:color w:val="000000"/>
          <w:sz w:val="28"/>
          <w:szCs w:val="28"/>
        </w:rPr>
        <w:t>(домовладении), а также порядок взаимодействия иных организаций, отвечающих требованиям, установленным настоящими Правилами, с газораспределительными или газоснабжающими организациями при ремонте газового оборудования.</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субъекте Российской Федерации - городе федерального значения Москве могут быть установлены особенности организации технического обслуживания и ремонта внутридомового газового оборудования в многоквартирном доме и технического обслуживания внутриквартирного газового оборудования в многоквартирном доме.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2. Понятия, используемые в настоящих Правилах, означают следующее: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"аварийно-диспетчерское обеспечение" - комплекс мер по предупреждению и локализации аварий, возникающих в процессе использования внутридомового и внутриквартирного газового оборудования, направленных на устранение непосредственной угрозы жизни или здоровью граждан, причинения вреда имуществу физических или юридических лиц, государственному или муниципальному имуществу, окружающей среде, жизни или здоровью животных и сохранности растений;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"бытовое газоиспользующее оборудование" - оборудование, предназначенное для использования газа в качестве топлива для бытовых нужд потребителей газа (газовые плиты, газовые проточные водонагреватели, газовые отопительные котлы и др.);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"внутридомовое газовое оборудование":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многоквартирном доме - являющиеся общим имуществом собственников помещений газопроводы, проложенные от источника газа (при использовании сжиженного углеводородного газа) или места присоединения указанных газопроводов к сети газораспределения до запорной арматуры (крана) включительно, расположенной на ответвлениях (опусках) к внутриквартирному газовому оборудованию, резервуарные и (или) групповые баллонные установки сжиженных углеводородных газов, предназначенные для подачи газа в один многоквартирный дом, газоиспользующее оборудование (за исключением бытового газоиспользующего оборудования, входящего в состав внутриквартирного газового оборудования), технические устройства на газопроводах, в том числе трубопроводная арматура, системы контроля загазованности помещений, установленные после запорной арматуры (крана), расположенной на ответвлениях (опусках) к внутриквартирному газовому оборудованию, системы контроля загазованности помещений, коллективные (общедомовые) приборы учета газа, а также приборы учета газа, фиксирующие объем газа, используемого при производстве коммунальной услуги по отоплению и (или) горячему водоснабжению;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домовладениях - находящиеся в пределах земельного участка, на котором расположено домовладение, газопроводы, проложенные от источника газа (при использовании сжиженных углеводородных газов) или места присоединения указанных газопроводов к сети газораспределения до бытового газоиспользующего оборудования, резервуарные и (или) групповые баллонные установки сжиженных углеводородных газов, предназначенные для подачи газа в одно домовладение, индивидуальные баллонные установки сжиженных углеводородных газов, бытовое газоиспользующее оборудование, технические устройства на газопроводах, в том числе запорная трубопроводная арматура, системы контроля загазованности помещений и приборы учета газа;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"внутриквартирное газовое оборудование" - газопроводы многоквартирного дома, проложенные после запорной арматуры (крана), расположенной на ответвлениях (опусках) к внутриквартирному газовому оборудованию, до бытового газоиспользующего оборудования, размещенного внутри помещения, бытовое газоиспользующее оборудование и технические устройства на газопроводах, в том числе трубопроводная арматура, системы контроля загазованности помещений, индивидуальный или общий (квартирный) прибор учета газа;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"газоиспользующее оборудование" - оборудование, в котором газ используется в качестве топлива;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 иные объекты);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"заказчик" - юридическое лицо (в том числе управляющая организация, товарищество собственников жилья либо жилищный кооператив или иной специализированный потребительский кооператив, созданный в целях удовлетворения потребностей граждан в жилье (далее соответственно - товарищество, кооператив), индивидуальный предприниматель, осуществляющий управление многоквартирным домом, собственники помещений в многоквартирном доме (при непосредственном способе управления многоквартирным домом) или физическое лицо (гражданин), являющееся собственником помещения или нанимателем жилого помещения по договору социального найма, договору найма жилого помещения жилищного фонда социального использования в многоквартирном доме, нанимателем жилого помещения по договору найма специализированного жилого помещения в многоквартирном доме или собственником в жилом доме (домовладении), выступающие стороной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заказывающей выполнение работ (оказание услуг) по такому договору, обязанной принять и оплатить выполненные работы (оказанные услуги);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"заявитель" - лицо, имеющее намерение выступить заказчиком по договору о техническом обслуживании и ремонте внутридомового газового оборудования в многоквартирном доме, договору о техническом обслуживании внутриквартирного газового оборудования в многоквартирном доме или договору о техническом обслуживании внутридомового газового оборудования в жилом доме (домовладении);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"исполнитель" - специализированная организация, которая на основании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являющихся смешанными договорами, содержащими элементы договора подряда и договора возмездного оказания услуг, приняла на себя обязательства по выполнению работ (оказанию услуг), предусмотренных договором о техническом обслуживании и ремонте внутридомового газового оборудования в многоквартирном доме, или договором о техническом обслуживании внутриквартирного газового оборудования в многоквартирном доме, или договором о техническом обслуживании внутридомового газового оборудования в жилом доме (домовладении);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"личный кабинет заявителя (заказчика)" - отдельный раздел официального сайта специализированной организации в информационно-телекоммуникационной сети "Интернет" для обеспечения информационного взаимодействия специализированной организации с заявителями, заказчиками в информационно-телекоммуникационной сети "Интернет" или сайта иной организации в информационно-телекоммуникационной сети "Интернет", привлекаемой специализированной организацией для обеспечения указанного информационного взаимодействия;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"поставщик газа" - газоснабжающая организация, являющаяся стороной договора, предусматривающего поставку газа в качестве коммунального ресурса, необходимого для предоставления коммунальной услуги по газоснабжению;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"приостановление подачи газа" - совокупность действий технического характера (в том числе перекрытие запорной арматуры), которые выполняются исполнителем (а в случае отсутствия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 специализированной организацией) в случаях, предусмотренных настоящими Правилами, и результатом которых является прекращение подачи газа к внутридомовому и (или) внутриквартирному газовому оборудованию;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"ремонт внутридомового и (или) внутриквартирного газового оборудования" - работы по восстановлению исправности внутридомового и (или) внутриквартирного газового оборудования или его составных частей;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"специализированная организация" - организация, соответствующая требованиям, установленным настоящими Правилами, осуществляющая деятельность по техническому обслуживанию и ремонту внутридомового газового оборудования в многоквартирном доме, техническому обслуживанию внутриквартирного газового оборудования в многоквартирном доме и техническому обслуживанию внутридомового газового оборудования в жилом доме, предусмотренным приложением к настоящим Правилам, установке (за исключением случаев, предусмотренных правилами технологического присоединения газоиспользующего оборудования к газораспределительным сетям) и замене такого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газораспределительная организация, осуществляющая транспортировку подаваемого до внутридомового газового оборудования природного газа по сети газораспределения, либо газораспределительная организация, осуществляющая техническое обслуживание этой сети по договору, заключенному в соответствии с требованиями промышленной безопасности и (или) законодательства о техническом регулировании с газораспределительной организацией, осуществляющей транспортировку подаваемого до внутридомового газового оборудования природного газа по этой сети, - если при предоставлении коммунальной услуги газоснабжения используется природный газ;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газоснабжающая организация, осуществляющая поставку сжиженного газа до места соединения сети газораспределения сжиженного углеводородного газа с газопроводом, входящим в состав внутридомового газового оборудования, - если при предоставлении коммунальной услуги газоснабжения используется сжиженный углеводородный газ, поставляемый из резервуарной или групповой баллонной установки;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газоснабжающая организация, уполномоченная на поставку сжиженных углеводородных газов для бытовых нужд населения в субъекте Российской Федерации, - если при предоставлении коммунальной услуги газоснабжения используется бытовой газ в баллонах;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"техническое обслуживание внутридомового и (или) внутриквартирного газового оборудования" - работы и услуги по поддержанию внутридомового и (или) внутриквартирного газового оборудования в техническом состоянии, соответствующем предъявляемым к нему нормативным требованиям;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"техническое диагностирование внутридомового и (или) внутриквартирного газового оборудования" - определение технического состояния внутридомового и (или) внутриквартирного газового оборудования либо их составных частей, поиск и определение неисправностей указанного оборудования, а также определение возможности его дальнейшего использования.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3. Взрывобезопасность, механическая, пожарная, термическая, химическая, экологическая и электрическая безопасность, а также исправность внутридомового и внутриквартирного газового оборудования в процессе их использования и содержания достигаются путем технического обслуживания и ремонта указанного оборудования, выполняемых на основании договора, заключаемого между заказчиком и исполнителем, а также соблюдения указанными сторонами договора иных требований, предусмотренных настоящими Правилами и инструкцией по безопасному использованию газа при удовлетворении коммунально-бытовых нужд. </w:t>
      </w:r>
    </w:p>
    <w:p>
      <w:pPr>
        <w:pStyle w:val="BodyText"/>
        <w:spacing w:lineRule="atLeast" w:line="285"/>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  </w:t>
      </w:r>
    </w:p>
    <w:p>
      <w:pPr>
        <w:pStyle w:val="BodyText"/>
        <w:spacing w:before="0" w:after="0"/>
        <w:jc w:val="center"/>
        <w:rPr>
          <w:rFonts w:ascii="Times New Roman" w:hAnsi="Times New Roman" w:cs="Times New Roman"/>
          <w:sz w:val="28"/>
          <w:szCs w:val="28"/>
        </w:rPr>
      </w:pPr>
      <w:r>
        <w:rPr>
          <w:rFonts w:eastAsia="Times New Roman" w:cs="Times New Roman" w:ascii="Times New Roman" w:hAnsi="Times New Roman"/>
          <w:b/>
          <w:sz w:val="28"/>
          <w:szCs w:val="28"/>
        </w:rPr>
        <w:t>II. Организация безопасного использования и содержания</w:t>
      </w:r>
      <w:r>
        <w:rPr>
          <w:rFonts w:eastAsia="Times New Roman" w:cs="Times New Roman" w:ascii="Times New Roman" w:hAnsi="Times New Roman"/>
          <w:sz w:val="28"/>
          <w:szCs w:val="28"/>
        </w:rPr>
        <w:t xml:space="preserve"> </w:t>
      </w:r>
    </w:p>
    <w:p>
      <w:pPr>
        <w:pStyle w:val="BodyText"/>
        <w:spacing w:before="0" w:after="0"/>
        <w:jc w:val="center"/>
        <w:rPr>
          <w:rFonts w:ascii="Times New Roman" w:hAnsi="Times New Roman" w:cs="Times New Roman"/>
          <w:sz w:val="28"/>
          <w:szCs w:val="28"/>
        </w:rPr>
      </w:pPr>
      <w:r>
        <w:rPr>
          <w:rFonts w:eastAsia="Times New Roman" w:cs="Times New Roman" w:ascii="Times New Roman" w:hAnsi="Times New Roman"/>
          <w:b/>
          <w:sz w:val="28"/>
          <w:szCs w:val="28"/>
        </w:rPr>
        <w:t>внутридомового и внутриквартирного газового оборудования</w:t>
      </w:r>
      <w:r>
        <w:rPr>
          <w:rFonts w:eastAsia="Times New Roman" w:cs="Times New Roman" w:ascii="Times New Roman" w:hAnsi="Times New Roman"/>
          <w:sz w:val="28"/>
          <w:szCs w:val="28"/>
        </w:rPr>
        <w:t xml:space="preserve"> </w:t>
      </w:r>
    </w:p>
    <w:p>
      <w:pPr>
        <w:pStyle w:val="BodyText"/>
        <w:jc w:val="center"/>
        <w:rPr>
          <w:rFonts w:ascii="Times New Roman" w:hAnsi="Times New Roman" w:cs="Times New Roman"/>
          <w:sz w:val="28"/>
          <w:szCs w:val="28"/>
        </w:rPr>
      </w:pPr>
      <w:r>
        <w:rPr>
          <w:rFonts w:eastAsia="Times New Roman" w:cs="Times New Roman" w:ascii="Times New Roman" w:hAnsi="Times New Roman"/>
          <w:sz w:val="28"/>
          <w:szCs w:val="28"/>
        </w:rPr>
        <w:t xml:space="preserve">  </w:t>
      </w:r>
    </w:p>
    <w:p>
      <w:pPr>
        <w:pStyle w:val="BodyText"/>
        <w:spacing w:lineRule="atLeast" w:line="285"/>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4. Безопасное использование и содержание внутридомового и внутриквартирного газового оборудования обеспечиваются путем осуществления следующего комплекса работ (услуг):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техническое обслуживание и ремонт внутридомового и (или) внутриквартирного газового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аварийно-диспетчерское обеспечение;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техническое диагностирование внутридомового и (или) внутриквартирного газового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г) ремонт и замена внутридомового и (или) внутриквартирного газового оборудования (при необходимости);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 приостановление подачи газа (отключение) по основаниям, предусмотренным пунктом 77 настоящих Правил, и возобновление (повторный пуск) подачи газа (подключение) после устранения причин, послуживших основанием для приостановления подачи газа (отключения);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е) оценка технического состояния бытового газоиспользующего оборудования в целях выявления его неисправностей и определения возможности дальнейшей эксплуатации.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5. Обязательным условием безопасного использования внутридомового и (или) внутриквартирного газового оборудования является надлежащее содержание дымовых и вентиляционных каналов многоквартирных домов и домовладений.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Информация о проведении работ по проверке состояния и функционирования, очистке и ремонту дымовых и вентиляционных каналов многоквартирных домов должна размещаться на официальных сайтах лиц, осуществляющих деятельность по управлению многоквартирными домами, а при непосредственном способе управления многоквартирным домом - на информационных стендах в местах общего пользования в многоквартирном доме лицом, определенным решением общего собрания собственников помещений в многоквартирном доме и выступающим от их имени при заключении и выполнении условий договора о техническом обслуживании и ремонте внутридомового газового оборудования в многоквартирном доме и договора о техническом обслуживании внутриквартирного газового оборудования в многоквартирном доме.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Абзац утратил силу с 1 марта 2026 года. - Постановление Правительства РФ от 29.11.2025 N 1967.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6. Работы по техническому обслуживанию и ремонту внутридомового газового оборудования в многоквартирном доме, техническому обслуживанию внутриквартирного газового оборудования в многоквартирном доме, техническому обслуживанию внутридомового газового оборудования в жилом доме (домовладении) выполняются специализированной организацией в порядке, предусмотренном настоящими Правилами, на основании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 (домовладении), заключенных между заказчиком и исполнителем по типовым формам договоров, утвержденным Министерством строительства и жилищно-коммунального хозяйства Российской Федерации.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Перечень работ, выполняемых по указанным договорам, должен предусматривать техническое обслуживание и ремонт (применительно к внутридомовому газовому оборудованию в многоквартирном доме) всего газового оборудования заказчика и не может быть менее минимального перечня услуг (работ) по техническому обслуживанию и ремонту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предусмотренного приложением к настоящим Правилам.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Абзацы третий - четвертый утратили силу с 1 марта 2026 года. - Постановление Правительства РФ от 29.11.2025 N 1967.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7. Аварийно-диспетчерское обеспечение, в том числе локализация аварийных участков сети газопотребления, устранение утечек газа, предупреждение аварий, выполняется круглосуточно аварийно-диспетчерской службой специализированной организации незамедлительно при поступлении информации об аварии или угрозе ее возникновения без соблюдения требования о предварительном согласовании с заказчиком даты (дат) и времени обеспечения допуска сотрудников исполнителя к внутридомовому и (или) внутриквартирному газовому оборудованию, предусмотренного пунктами 52 и 53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Для локализации аварий на внутридомовом и (или) внутриквартирном газовом оборудовании при необходимости привлекаются сотрудники полиции и (или) сотрудники подразделений территориальных органов Министерства Российской Федерации по делам гражданской обороны, чрезвычайным ситуациям и ликвидации последствий стихийных бедствий.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Аварийно-диспетчерское обеспечение осуществляется специализированной организацией в соответствии с законодательством Российской Федерации и настоящими Правилами.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Абзац утратил силу с 1 сентября 2023 года. - Постановление Правительства РФ от 29.05.2023 N 859.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Приостановление подачи газа исполнителем, а в случае отсутствия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специализированной организацией оформляется соответствующим актом в порядке, предусмотренном пунктами 87 и 88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Абзац утратил силу с 1 сентября 2023 года. - Постановление Правительства РФ от 29.05.2023 N 859.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8. Работы по техническому диагностированию газопроводов, входящих в состав внутридомового и (или) внутриквартирного газового оборудования, осуществляются в отношении газопроводов, отработавших сроки эксплуатации, установленные проектной документацией, а при их отсутствии - 30 лет со дня ввода газопровода в эксплуатацию.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Проведение технического диагностирования газопроводов, входящих в состав внутридомового и (или) внутриквартирного газового оборудования, осуществляется на основании возмездного договора о техническом диагностировании указанных газопроводов, заключаемого с организацией, отвечающей требованиям, установленным разделом IX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многоквартирном доме в отношении внутридомового газового оборудования - лицами, ответственными за содержание общего имущества в многоквартирном доме (управляющая организация, товарищество или кооператив, собственники помещений в многоквартирном доме - при непосредственном способе управления многоквартирным домом);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многоквартирном доме в отношении внутриквартирного газового оборудования - собственниками помещений или нанимателями жилых помещений по договорам социального найма, договорам найма жилых помещений жилищного фонда социального использования в многоквартирном доме;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домовладении - собственником домовладения.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Техническое диагностирование газопроводов, входящих в состав внутридомового и (или) внутриквартирного газового оборудования, осуществляется в целях: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определения их фактического технического состояния;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поиска и определения их неисправности;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определения срока их возможного дальнейшего использования.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9. Работы по техническому диагностированию газопроводов, входящих в состав внутридомового и (или) внутриквартирного газового оборудования, осуществляются специализированной организацией или иной организацией, которые соответствуют требованиям, установленным разделом IX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9(1). Работы по ремонту внутридомового газового оборудования в многоквартирном доме, работы по установке и (или) замене внутридомового и (или) внутриквартирного газового оборудования в многоквартирном доме, внутридомового газового оборудования в жилом доме (домовладении) осуществляются исполнителем (специализированной организацией) по отдельному договору с заказчиком.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Работы по ремонту внутриквартирного газового оборудования, внутридомового газового оборудования в жилом доме (домовладении), не указанные в приложении к настоящим Правилам, осуществляются исполнителем (специализированной организацией) либо иной организацией, отвечающей требованиям к организациям, осуществляющим ремонт газового оборудования, по отдельному договору с заказчиком.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Гарантийный ремонт внутридомового, внутриквартирного газового оборудования осуществляется в соответствии с федеральными законами с соблюдением требований, установленных законодательством о газоснабжении в Российской Федерации. Капитальный ремонт внутридомового газового оборудования, выполнение которого финансируется за счет средств фонда капитального ремонта, осуществляется в соответствии с разделом IX Жилищного кодекса Российской Федерации.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9(2). В случае привлечения заказчиком для проведения работ по ремонту внутриквартирного газового оборудования или внутридомового газового оборудования в жилом доме (домовладении) иной организации, а также для проведения гарантийного ремонта организацией, уполномоченной на проведение такого ремонта, заказчик направляет исполнителю (специализированной организации) уведомление о проведении такого ремонта иной организацией (далее - уведомление о проведении ремонта) в электронной или письменной форме в диспетчерскую службу исполнителя либо уведомляет исполнителя по телефону. Уведомление о проведении ремонта должно быть направлено не позднее чем за одни сутки до момента начала работ по ремонту газового оборудования иной организацией, а в случае работ по ремонту отопительного оборудования в отопительный сезон уведомление о проведении ремонта направляется не позднее чем за 6 часов до начала работ. Уведомление о проведении ремонта должно содержать информацию о месте, дате, времени проведения ремонтных работ, о газовом оборудовании, подлежащем ремонту, о необходимости отсоединения от сети газопотребления и (или) установки газового оборудования, сведения об иной организации, осуществляющей ремонт (наименование, идентификационный номер налогоплательщика, контактные данные). Уведомление о проведении ремонта должно быть зарегистрировано сотрудником исполнителя, принявшим его, с указанием даты и времени его поступления. При регистрации уведомления о проведении ремонта заказчику сообщаются дата и время такой регистрации, регистрационный номер уведомления о проведении ремонта и фамилия сотрудника, зарегистрировавшего заявку.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случае необходимости для проведения работ по ремонту внутриквартирного газового оборудования или внутридомового газового оборудования в жилом доме (домовладении) отсоединения этого оборудования от сети газопотребления и (или) его установки, в том числе установки подменного газового оборудования, исполнитель (специализированная организация) производит отсоединение и при необходимости установку этого газового оборудования в дату и время, указанные в уведомлении о проведении ремонта. Дата и время последующей установки этого газового оборудования сообщаются заказчиком исполнителю (специализированной организации) отдельным уведомлением. Оплата работ по установке и (или) замене газового оборудования в указанном в настоящем абзаце случае производится заказчиком исполнителю (специализированной организации) в порядке, установленном разделом V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течение 3 дней с даты окончания ремонта внутриквартирного газового оборудования или внутридомового газового оборудования в жилом доме (домовладении) иной организацией заказчик направляет исполнителю копию акта о выполнении работ по ремонту газового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Сотрудники исполнителя вправе по окончании работ по ремонту газового оборудования иной организацией произвести оценку технического состояния газоиспользующего оборудования и (или) проверку герметичности соединений и отключающих устройств, входящих в состав указанного внутриквартирного газового оборудования или внутридомового газового оборудования в жилом доме (домовладении).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10. Замена оборудования, входящего в состав внутридомового и (или) внутриквартирного газового оборудования, осуществляется в следующих случаях: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истечение установленных изготовителем сроков эксплуатации оборудования или сроков, установленных проектной документацией, утвержденной в отношении газопроводов, если эти сроки не продлены по результатам технического диагностирования внутридомового и (или) внутриквартирного газового оборудования, а также истечение сроков эксплуатации этого оборудования, продленных по результатам его технического диагностирования;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истечение у гибкой газовой подводки, входящей в состав внутридомового и (или) внутриквартирного газового оборудования, срока эксплуатации, установленного изготовителем;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признание газоиспользующего оборудования неисправным и не подлежащим ремонту (непригодным для ремонта) по результатам оценки его технического состояния;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заявка заказчика.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Перечисленные в настоящем пункте случаи, требующие замены внутридомового и (или) внутриквартирного газового оборудования, выявляются специализированной организацией при проведении технического обслуживания указанного оборудования и оформляются актом, являющимся документальным подтверждением наличия оснований для замены такого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Самостоятельная замена указанного оборудования его владельцем без привлечения специализированной организации не допускается.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11. Надлежащее содержание дымовых и вентиляционных каналов обеспечивается: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в многоквартирных домах путем проверки состояния и функционирования дымовых и вентиляционных каналов, при необходимости их очистки и (или) ремонта лицами, ответственными за содержание общего имущества в многоквартирном доме, либо путем заключения договора об их проверке, а также при необходимости об очистке и (или) о ремонте с организацией, осуществляющей указанные работы;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в жилом доме (домовладении) путем проверки состояния и функционирования дымовых и вентиляционных каналов, при необходимости их очистки и (или) ремонта организацией, осуществляющей указанные работы по договору с собственником жилого дома (домовладения).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12. Работы, предусмотренные пунктом 11 настоящих Правил, производятся в следующих случаях: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при приемке дымовых и вентиляционных каналов в эксплуатацию при газификации здания и (или) подключении нового газоиспользующего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при переустройстве и ремонте дымовых и вентиляционных каналов;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в процессе эксплуатации дымовых и вентиляционных каналов (периодическая проверка) - не реже 3 раз в год (в период с августа по сентябрь, с декабря по февраль, с марта по май);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г) при отсутствии тяги, выявленной в процессе эксплуатации, в том числе с использованием автоматических устройств, при техническом обслуживании и ремонте внутридомового и (или) внутриквартирного газового оборудования в многоквартирном доме, техническом диагностировании газопроводов, входящих в состав внутридомового и (или) внутриквартирного газового оборудования, и аварийно-диспетчерском обеспечении внутридомового и (или) внутриквартирного газового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12(1). Результаты проверки состояния и функционирования дымовых и вентиляционных каналов, указанной в пункте 11 настоящих Правил, фиксируются организацией, осуществляющей такую проверку, в акте обследования дымовых и вентиляционных каналов, содержащем сведения о величине воздухообмена и величине разрежения в дымовом и вентиляционном каналах помещения многоквартирного дома или в жилом доме (домовладении), в котором размещено газоиспользующее оборудование, и в заключении о наличии (отсутствии) факторов, предусмотренных подпунктами "а" и (или) "б" пункта 77 настоящих Правил. Указанный акт обследования дымовых и вентиляционных каналов в течение 10 дней с даты его составления подлежит направлению составившей его организацией в адрес заказчика и специализированной организации, а также по запросу органа жилищного надзора (контроля) в его адрес.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случае наличия факторов, предусмотренных подпунктами "а" и (или) "б" пункта 77 настоящих Правил, организация, осуществляющая проверку состояния и функционирования дымовых и вентиляционных каналов, указанная в пункте 11 настоящих Правил, обязана незамедлительно уведомить о наличии такой угрозы заказчика, специализированную организацию и органы жилищного надзора (контроля) и направить в их адрес указанный акт обследования дымовых и вентиляционных каналов.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13. Проверка, очистка и ремонт дымовых и вентиляционных каналов выполняются в соответствии с настоящими Правилами, иными нормативными правовыми актами.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Организация, указанная в пункте 11 настоящих Правил, должна иметь штат квалифицированных сотрудников в количестве, обеспечивающем надлежащее выполнение соответствующих работ (оказание соответствующих услуг), имеющих профильное образование, должна быть оснащена средствами контроля и измерений, контрольно-измерительным оборудованием, прошедшим метрологический контроль.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Проверка функционирования дымовых и вентиляционных каналов должна производиться в соответствии с методикой (методом) измерений, аттестованной в установленном порядке.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14 - 15. Утратили силу. - Постановление Правительства РФ от 06.10.2017 N 1219. </w:t>
      </w:r>
    </w:p>
    <w:p>
      <w:pPr>
        <w:pStyle w:val="BodyText"/>
        <w:spacing w:lineRule="atLeast" w:line="285"/>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  </w:t>
      </w:r>
    </w:p>
    <w:p>
      <w:pPr>
        <w:pStyle w:val="BodyText"/>
        <w:spacing w:before="0" w:after="0"/>
        <w:jc w:val="center"/>
        <w:rPr>
          <w:rFonts w:ascii="Times New Roman" w:hAnsi="Times New Roman" w:cs="Times New Roman"/>
          <w:sz w:val="28"/>
          <w:szCs w:val="28"/>
        </w:rPr>
      </w:pPr>
      <w:r>
        <w:rPr>
          <w:rFonts w:eastAsia="Times New Roman" w:cs="Times New Roman" w:ascii="Times New Roman" w:hAnsi="Times New Roman"/>
          <w:b/>
          <w:sz w:val="28"/>
          <w:szCs w:val="28"/>
        </w:rPr>
        <w:t>III. Порядок и условия заключения договора о техническом</w:t>
      </w:r>
      <w:r>
        <w:rPr>
          <w:rFonts w:eastAsia="Times New Roman" w:cs="Times New Roman" w:ascii="Times New Roman" w:hAnsi="Times New Roman"/>
          <w:sz w:val="28"/>
          <w:szCs w:val="28"/>
        </w:rPr>
        <w:t xml:space="preserve"> </w:t>
      </w:r>
    </w:p>
    <w:p>
      <w:pPr>
        <w:pStyle w:val="BodyText"/>
        <w:spacing w:before="0" w:after="0"/>
        <w:jc w:val="center"/>
        <w:rPr>
          <w:rFonts w:ascii="Times New Roman" w:hAnsi="Times New Roman" w:cs="Times New Roman"/>
          <w:sz w:val="28"/>
          <w:szCs w:val="28"/>
        </w:rPr>
      </w:pPr>
      <w:r>
        <w:rPr>
          <w:rFonts w:eastAsia="Times New Roman" w:cs="Times New Roman" w:ascii="Times New Roman" w:hAnsi="Times New Roman"/>
          <w:b/>
          <w:sz w:val="28"/>
          <w:szCs w:val="28"/>
        </w:rPr>
        <w:t>обслуживании и ремонте внутридомового газового оборудования</w:t>
      </w:r>
      <w:r>
        <w:rPr>
          <w:rFonts w:eastAsia="Times New Roman" w:cs="Times New Roman" w:ascii="Times New Roman" w:hAnsi="Times New Roman"/>
          <w:sz w:val="28"/>
          <w:szCs w:val="28"/>
        </w:rPr>
        <w:t xml:space="preserve"> </w:t>
      </w:r>
    </w:p>
    <w:p>
      <w:pPr>
        <w:pStyle w:val="BodyText"/>
        <w:spacing w:before="0" w:after="0"/>
        <w:jc w:val="center"/>
        <w:rPr>
          <w:rFonts w:ascii="Times New Roman" w:hAnsi="Times New Roman" w:cs="Times New Roman"/>
          <w:sz w:val="28"/>
          <w:szCs w:val="28"/>
        </w:rPr>
      </w:pPr>
      <w:r>
        <w:rPr>
          <w:rFonts w:eastAsia="Times New Roman" w:cs="Times New Roman" w:ascii="Times New Roman" w:hAnsi="Times New Roman"/>
          <w:b/>
          <w:sz w:val="28"/>
          <w:szCs w:val="28"/>
        </w:rPr>
        <w:t>в многоквартирном доме, договора о техническом обслуживании</w:t>
      </w:r>
      <w:r>
        <w:rPr>
          <w:rFonts w:eastAsia="Times New Roman" w:cs="Times New Roman" w:ascii="Times New Roman" w:hAnsi="Times New Roman"/>
          <w:sz w:val="28"/>
          <w:szCs w:val="28"/>
        </w:rPr>
        <w:t xml:space="preserve"> </w:t>
      </w:r>
    </w:p>
    <w:p>
      <w:pPr>
        <w:pStyle w:val="BodyText"/>
        <w:spacing w:before="0" w:after="0"/>
        <w:jc w:val="center"/>
        <w:rPr>
          <w:rFonts w:ascii="Times New Roman" w:hAnsi="Times New Roman" w:cs="Times New Roman"/>
          <w:sz w:val="28"/>
          <w:szCs w:val="28"/>
        </w:rPr>
      </w:pPr>
      <w:r>
        <w:rPr>
          <w:rFonts w:eastAsia="Times New Roman" w:cs="Times New Roman" w:ascii="Times New Roman" w:hAnsi="Times New Roman"/>
          <w:b/>
          <w:sz w:val="28"/>
          <w:szCs w:val="28"/>
        </w:rPr>
        <w:t>внутриквартирного газового оборудования в многоквартирном</w:t>
      </w:r>
      <w:r>
        <w:rPr>
          <w:rFonts w:eastAsia="Times New Roman" w:cs="Times New Roman" w:ascii="Times New Roman" w:hAnsi="Times New Roman"/>
          <w:sz w:val="28"/>
          <w:szCs w:val="28"/>
        </w:rPr>
        <w:t xml:space="preserve"> </w:t>
      </w:r>
    </w:p>
    <w:p>
      <w:pPr>
        <w:pStyle w:val="BodyText"/>
        <w:spacing w:before="0" w:after="0"/>
        <w:jc w:val="center"/>
        <w:rPr>
          <w:rFonts w:ascii="Times New Roman" w:hAnsi="Times New Roman" w:cs="Times New Roman"/>
          <w:sz w:val="28"/>
          <w:szCs w:val="28"/>
        </w:rPr>
      </w:pPr>
      <w:r>
        <w:rPr>
          <w:rFonts w:eastAsia="Times New Roman" w:cs="Times New Roman" w:ascii="Times New Roman" w:hAnsi="Times New Roman"/>
          <w:b/>
          <w:sz w:val="28"/>
          <w:szCs w:val="28"/>
        </w:rPr>
        <w:t>доме или внутридомового газового оборудования в жилом</w:t>
      </w:r>
      <w:r>
        <w:rPr>
          <w:rFonts w:eastAsia="Times New Roman" w:cs="Times New Roman" w:ascii="Times New Roman" w:hAnsi="Times New Roman"/>
          <w:sz w:val="28"/>
          <w:szCs w:val="28"/>
        </w:rPr>
        <w:t xml:space="preserve"> </w:t>
      </w:r>
    </w:p>
    <w:p>
      <w:pPr>
        <w:pStyle w:val="BodyText"/>
        <w:spacing w:before="0" w:after="0"/>
        <w:jc w:val="center"/>
        <w:rPr>
          <w:rFonts w:ascii="Times New Roman" w:hAnsi="Times New Roman" w:cs="Times New Roman"/>
          <w:sz w:val="28"/>
          <w:szCs w:val="28"/>
        </w:rPr>
      </w:pPr>
      <w:r>
        <w:rPr>
          <w:rFonts w:eastAsia="Times New Roman" w:cs="Times New Roman" w:ascii="Times New Roman" w:hAnsi="Times New Roman"/>
          <w:b/>
          <w:sz w:val="28"/>
          <w:szCs w:val="28"/>
        </w:rPr>
        <w:t>доме (домовладении)</w:t>
      </w:r>
      <w:r>
        <w:rPr>
          <w:rFonts w:eastAsia="Times New Roman" w:cs="Times New Roman" w:ascii="Times New Roman" w:hAnsi="Times New Roman"/>
          <w:sz w:val="28"/>
          <w:szCs w:val="28"/>
        </w:rPr>
        <w:t xml:space="preserve"> </w:t>
      </w:r>
    </w:p>
    <w:p>
      <w:pPr>
        <w:pStyle w:val="BodyText"/>
        <w:jc w:val="center"/>
        <w:rPr>
          <w:rFonts w:ascii="Times New Roman" w:hAnsi="Times New Roman" w:cs="Times New Roman"/>
          <w:sz w:val="28"/>
          <w:szCs w:val="28"/>
        </w:rPr>
      </w:pPr>
      <w:r>
        <w:rPr>
          <w:rFonts w:eastAsia="Times New Roman" w:cs="Times New Roman" w:ascii="Times New Roman" w:hAnsi="Times New Roman"/>
          <w:sz w:val="28"/>
          <w:szCs w:val="28"/>
        </w:rPr>
        <w:t xml:space="preserve">  </w:t>
      </w:r>
    </w:p>
    <w:p>
      <w:pPr>
        <w:pStyle w:val="BodyText"/>
        <w:spacing w:lineRule="atLeast" w:line="285"/>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16. Договор о техническом обслуживании и ремонте внутридомового газового оборудования в многоквартирном доме, договор о техническом обслуживании внутриквартирного газового оборудования в многоквартирном доме, договор о техническом обслуживании внутридомового газового оборудования в жилом доме (домовладении) являются публичными и заключаются в порядке, установленном Гражданским кодексом Российской Федерации, Жилищным кодексом Российской Федерации и настоящими Правилами.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случае когда в качестве топлива используются сжиженные углеводородные газы, специализированной организацией, с которой может быть заключен договор о техническом обслуживании и ремонте внутридомового газового оборудования в многоквартирном доме, договор о техническом обслуживании внутриквартирного газового оборудования в многоквартирном доме или договор о техническом обслуживании внутридомового газового оборудования в жилом доме (домовладении), может выступать любая газораспределительная организация, осуществляющая транспортировку газа по газораспределительным сетям.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17. Договор о техническом обслуживании внутриквартирного газового оборудования в многоквартирном доме от имени всех собственников помещений или нанимателей жилых помещений по договорам социального найма, договорам найма жилых помещений жилищного фонда социального использования в многоквартирном доме, нанимателей жилых помещений по договору найма специализированного жилого помещения в многоквартирном доме может быть заключен лицом, определенным решением общего собрания собственников помещений в данном многоквартирном доме.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18. Для заключения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 (домовладении) заявитель направляет в специализированную организацию заявку (оферту) в письменной форме (на бумажном носителе или в виде электронного документа), которая должна содержать в том числе следующие сведения: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информация о заявителе (для гражданина - фамилия, имя, отчество, дата и место рождения, место жительства, реквизиты основного документа, удостоверяющего личность, а также страховой номер индивидуального лицевого счета, идентификационный номер налогоплательщика; для индивидуального предпринимателя - фамилия, имя, отчество, дата и место рождения, место жительства, реквизиты основного документа, удостоверяющего личность, а также страховой номер индивидуального лицевого счета, идентификационный номер налогоплательщика, основной государственный регистрационный номер индивидуального предпринимателя; для юридического лица - наименование, место нахождения;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адрес жилого дома (домовладения) или многоквартирного дома с указанием всех помещений такого жилого дома (домовладения) или многоквартирного дома, в которых размещено внутридомовое и (или) внутриквартирное газовое оборудование, техническое обслуживание которого необходимо осуществлять;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перечень оборудования, входящего в состав внутридомового и (или) внутриквартирного газового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18(1). Заявитель вправе представить заявку (оферту) специализированной организации на бумажном носителе в офисе специализированной организации или через многофункциональный центр предоставления государственных и муниципальных услуг, либо при наличии технической возможности приема соответствующих заявок (оферт) направить заявку (оферту) в электронной форме через личный кабинет заявителя (заказчика), или с использованием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на едином портале), или личного кабинета на региональном портале государственных и муниципальных услуг (функций) (далее - личный кабинет на региональном портале), либо направить заявку (оферту) на бумажном носителе письмом в адрес специализированной организации.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Для обеспечения информационного взаимодействия специализированной организации с заявителями, заказчиками в информационно-телекоммуникационной сети "Интернет" специализированная организация вправе осуществить присоединение информационных систем специализированной организации, иная организация, привлекаемая специализированной организацией для обеспечения информационного взаимодействия специализированной организации с заявителями, заказчиками в информационно-телекоммуникационной сети "Интернет" (далее - привлеченная организация), - присоединение информационных систем привлеченной организации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порядке, установленном Правилами присоединения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утвержденными постановлением Правительства Российской Федерации от 22 декабря 2012 г. N 1382 "О присоединении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либо использовать для обеспечения указанного информационного взаимодействия федеральную государственную информационную систему "Единая система предоставления государственных и муниципальных услуг (сервисов)".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случае присоединения информационной системы специализированной организации, информационной системы привлеченной организации к инфраструктуре, указанной в абзаце втором настоящего пункта, в порядке, установленном Правилами присоединения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утвержденными постановлением Правительства Российской Федерации от 22 декабря 2012 г. N 1382 "О присоединении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доступ заявителя, заказчика к личному кабинету заявителя (заказчика) может осуществляться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Информация о порядке и об условиях создания личного кабинета заявителя (заказчика) и доступа к нему размещается на официальном сайте специализированной организации в информационно-телекоммуникационной сети "Интернет". В случае отсутствия у заявителя личного кабинета заявителя (заказчика) специализированная организация на основании поданной заявки (оферты) вправе его зарегистрировать и сообщить заявителю порядок доступа к личному кабинету заявителя (заказчика), включая получение первоначального доступа к личному кабинету заявителя (заказчика), регистрацию и авторизацию заявителя, тем же способом, которым заявка (оферта) была подана заявителем, а в случае представления заявки (оферты) в офисе газоснабжающей организации - при принятии от заявителя указанной заявки (оферты) либо заказным письмом с описью вложения, направляемым в адрес заявителя.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Специализированная организация в офисах обслуживания заявителей, заказчиков обязана обеспечить заявителям, заказчикам доступ к личному кабинету заявителя (заказчика) на безвозмездной основе.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целях идентификации заявителя, заказчика в личном кабинете заявителя (заказчика) специализированная организация, привлеченная организация с согласия заявителя, заказчика, выраженного в единой системе идентификации и аутентификации, вправе запросить из единой системы идентификации и аутентификации следующие сведения: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о физическом лице: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фамилия, имя и отчество (при наличии);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дата рождения;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данные документа, удостоверяющего личность;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страховой номер индивидуального лицевого счета;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контактный телефон;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адрес электронной почты;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адрес регистрации;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фактический адрес проживания;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о юридическом лице: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полное наименование;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идентификационный номер налогоплательщика;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основной государственный регистрационный номер;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контактный телефон;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адрес электронной почты;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почтовый адрес;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об уполномоченном лице заявителя: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фамилия, имя и отчество (при наличии);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дата рождения;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данные документа, удостоверяющего личность;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страховой номер индивидуального лицевого счета;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контактный телефон;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адрес электронной почты;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об индивидуальном предпринимателе: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полное наименование;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идентификационный номер налогоплательщика;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основной государственный регистрационный номер индивидуального предпринимателя;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контактный телефон;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адрес электронной почты;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адрес регистрации.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случае направления заявки (оферты) посредством федеральной государственной информационной системы "Единый портал государственных и муниципальных услуг (функций)" уполномоченным представителем заявителя полномочия указанного представителя могут быть подтверждены машиночитаемой доверенностью, сформированной с использованием в том числе единой системы идентификации и аутентификации.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Заявка (оферта) и прилагаемые к ней документы в электронной форме, а также иные документы в электронной форме, которые направляются с использованием личного кабинета заявителя (заказчика), личного кабинета на едином портале, личного кабинета на региональном портале в соответствии с настоящими Правилами, могут быть подписаны простой электронной подписью, ключ которой получен в соответствии с Правилами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 N 33 "Об использовании простой электронной подписи при оказании государственных и муниципальных услуг", или усиленной квалифицированной электронной подписью, или усиленной неквалифицированной электронной подписью физического лица (в том числе действующего от имени юридического лица на основании машиночитаемой доверенности),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Специализированная организация обязана обеспечить принятие от заявителя, заказчика в электронном виде документов, предусмотренных настоящими Правилами, подписание (отклонение) заявителем, заказчиком и специализированной организацией таких документов, возможность информирования заявителя, заказчика о действиях, совершенных заявителем, заказчиком и специализированной организацией, предусмотренных настоящими Правилами, и возможность получения заявителем сведений об основных этапах обработки заявок (оферт) в личном кабинете заявителя (заказчика), личном кабинете на едином портале, личном кабинете на региональном портале без использования программного обеспечения, установка которого на технические средства заявителя, заказчика требует заключения лицензионного или иного соглашения с правообладателем программного обеспечения, предусматривающего взимание с потребителя такого программного обеспечения платы, без использования специальных аппаратных средств в соответствии с настоящими Правилами.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Порядок и условия обеспечения привлеченной организацией информационного взаимодействия специализированной организации с заявителями, заказчиками в информационно-телекоммуникационной сети "Интернет", а также использования информационной системы привлеченной организации для организации направления заявителями заявки (оферты) в электронной форме с использованием личного кабинета заявителя (заказчика) в соответствии с настоящими Правилами определяются соглашением между специализированной организацией и привлеченной организацией.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19. К заявке (оферте) прилагаются следующие документы: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копия основного документа, удостоверяющего личность, - для заявителя-гражданина либо копии учредительных документов, заверенные государственным органом, осуществляющим ведение Единого государственного реестра юридических лиц, или нотариусом, - для заявителя - юридического лица, либо копия выписки из единого государственного реестра индивидуальных предпринимателей - для заявителя - индивидуального предпринимателя;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документ, подтверждающий правомочие представителя юридического лица выступать от имени этого юридического лица, - для заявителя - юридического лица;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документы, подтверждающие право лица действовать от имени собственников помещений в многоквартирном доме, - при непосредственном способе управления таким домом собственниками помещений;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г) документы, предусмотренные пунктом 22 настоящих Правил соответственно для управляющей организации либо для товарищества или кооператива;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 документ, предусмотренный пунктом 23 настоящих Правил, для лица, заключающего договор о техническом обслуживании внутриквартирного газового оборудования в многоквартирном доме в соответствии с пунктом 17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е) документы, подтверждающие право собственности (пользования) на помещение в многоквартирном доме или жилой дом (домовладение), в котором расположено внутриквартирное и (или) внутридомовое газовое оборудование;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ж) документы, подтверждающие состав внутридомового и (или) внутриквартирного газового оборудования и соответствие входящего в него оборудования нормативным техническим требованиям, предъявляемым к этому оборудованию (технические паспорта, сертификаты соответствия и др.);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з) документы, содержащие дату опломбирования прибора учета газа изготовителем или организацией, осуществлявшей его последнюю поверку, а также установленный срок проведения очередной поверки;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и) копия акта о готовности сетей газопотребления и газоиспользующего оборудования объекта капитального строительства к подключению (технологическому присоединению) (в случае, если договор заключается до завершения мероприятий по подключению (технологическому присоединению) или акта о подключении (технологическом присоединении) (документ, фиксирующий место подключения газопроводов, входящих в состав общего имущества в многоквартирном доме или домовладения, к газораспределительной (присоединенной) сети);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к) копия акта о подключении (технологическом присоединении) или договора о подключении (технологическом присоединении) объекта капитального строительства к сети газораспределения;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л) копия акта о выполнении работ по техническому диагностированию газопроводов, входящих в состав внутридомового и (или) внутриквартирного газового оборудования, если такое техническое диагностирование проводилось по основаниям, предусмотренным настоящими Правилами;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м) акт обследования дымовых и вентиляционных каналов, составленный в соответствии с требованиями пункта 12(1)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н) копии проектной и (или) эксплуатационной документации на внутридомовое газовое оборудование, дымовые и вентиляционные каналы (при наличии).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20. Документы, указанные в подпунктах "ж" - "л" и "н" пункта 19 настоящих Правил, предоставляются заявителем в случае их наличия. Отсутствие таких документов не может являться основанием для отказа в заключении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21. Документами, подтверждающими право лица действовать от имени собственников помещений в многоквартирном доме при непосредственном способе управления ими таким домом, при заключении договора о техническом обслуживании и ремонте внутридомового газового оборудования в многоквартирном доме являются: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протокол общего собрания собственников помещений в многоквартирном доме, содержащий решение о предоставлении указанному лицу права действовать от имени собственников помещений в таком доме в отношениях со специализированной организацией, - для лица, являющегося одним из собственников помещений в многоквартирном доме;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доверенность, удостоверяющая полномочия действовать от имени собственников помещений в многоквартирном доме в отношениях со специализированной организацией, выданная указанному в ней лицу в письменной форме всеми или большинством собственников помещений в таком доме, - для лица, не являющегося собственником помещения в многоквартирном доме.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22. Документами, подтверждающими право заявителя - юридического лица, индивидуального предпринимателя на заключение договора о техническом обслуживании и ремонте внутридомового газового оборудования в многоквартирном доме, являются: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для управляющей организации: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договор управления многоквартирным домом, заключенный с управляющей организацией, и протокол общего собрания собственников помещений в многоквартирном доме, содержащий решение о заключении указанного договора с управляющей организацией (в случае, если договор управления многоквартирным домом был заключен на основании такого решения без проведения открытого конкурса по отбору управляющей организации);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решение органа местного самоуправления об определении управляющей организации для управления многоквартирным домом и (или) договор управления многоквартирным домом (в случае, если управляющая организация определена решением органа местного самоуправления в соответствии с частью 17 статьи 161 Жилищного кодекса Российской Федерации);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протокол открытого конкурса по отбору управляющей организации для управления многоквартирным домом и договор управления многоквартирным домом, заключенный с управляющей организацией, признанной победителем указанного конкурса (в случае, если управление многоквартирным домом осуществляется управляющей организацией, отобранной по итогам открытого конкурса в соответствии с частью 4 статьи 161 Жилищного кодекса Российской Федерации);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для товарищества или кооператива - протокол общего собрания собственников помещений в многоквартирном доме, содержащий решение о выборе в качестве способа управления многоквартирным домом управление товариществом или кооперативом.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23. Документом, подтверждающим право лица на заключение договора о техническом обслуживании внутриквартирного газового оборудования в многоквартирном доме от имени всех собственников помещений и нанимателей жилых помещений по договорам социального найма, договорам найма жилых помещений жилищного фонда социального использования в многоквартирном доме, нанимателей жилого помещения по договору найма специализированного жилого помещения в многоквартирном доме в соответствии с пунктом 17 настоящих Правил, является протокол общего собрания собственников помещений в данном многоквартирном доме, содержащий решение об определении указанного лица.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24. Специализированная организация не вправе требовать от заявителя представления документов, не предусмотренных настоящими Правилами.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Документы, предусмотренные пунктами 19 - 23 настоящих Правил, представляемые в виде копий, заверяются лицами, выдавшими такие документы, или лицом, уполномоченным в соответствии с законодательством Российской Федерации на совершение действий по заверению копий таких документов.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Заявитель в случае подачи заявки (оферты) на бумажном носителе вправе представить специализированной организации одновременно оригиналы и копии документов, предусмотренных пунктами 19 - 23 настоящих Правил. После сверки при приеме заявки (оферты) с приложенными к ней документами идентичности копии и оригинала документа оригинал возвращается заявителю.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25. Направляемая заявителем заявка (оферта) оформляется в 2 экземплярах и регистрируется специализированной организацией в день поступления. Один экземпляр заявки (оферты) остается у специализированной организации, а другой возвращается заявителю с отметкой о дате принятия заявки (оферты) и представленных документов к рассмотрению.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26. Специализированная организация в срок, не превышающий 10 рабочих дней со дня регистрации заявки (оферты), осуществляет проверку комплектности и правильности оформления представленных документов, в том числе на предмет полноты и достоверности содержащихся в них сведений.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27. Непредставление заявителем всей информации, предусмотренной пунктом 18 настоящих Правил, представление заявителем документов, предусмотренных пунктами 19 - 23 настоящих Правил, в неполном объеме или неправильное их оформление не являются основанием для отказа в заключении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этом случае специализированная организация сообщает заявителю о допущенных несоответствиях в письменной форме в течение 5 рабочих дней со дня получения документов тем же способом, которым они были представлены в специализированную организацию в соответствии с пунктом 18(1) настоящих Правил, а в случае представления заявки (оферты) в офисе специализированной организации - заказным письмом с описью вложения, направляемым в адрес заявителя, после чего приостанавливает рассмотрение представленных документов без их возврата заявителю вплоть до получения от него недостающих (правильно оформленных) документов и (или) недостающей информации. В случае если недостающие (правильно оформленные) документы и (или) недостающая информация не будут представлены заявителем специализированной организации в течение 30 дней со дня приостановления рассмотрения представленных документов, специализированная организация вправе прекратить рассмотрение заявки (оферты) и возвратить документы заявителю тем же способом, которым они были представлены в специализированную организацию в соответствии с пунктом 18(1) настоящих Правил, а в случае представления заявки (оферты) в офисе специализированной организации - заказным письмом с описью вложения, направляемым в адрес заявителя. Заявитель вправе направить повторную заявку (оферту) этой же специализированной организации после устранения недостатков, послуживших основанием для прекращения ее рассмотрения.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28. По результатам проверки, предусмотренной пунктом 26 настоящих Правил, и при отсутствии замечаний к приложенным к заявке (оферте) документам специализированная организация составляет и подписывает со своей стороны договор о техническом обслуживании и ремонте внутридомового газового оборудования в многоквартирном доме, договор о техническом обслуживании внутриквартирного газового оборудования в многоквартирном доме или договор о техническом обслуживании внутридомового газового оборудования в жилом доме (домовладении). После подписания соответствующего договора специализированная организация направляет его для подписания заявителю.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29. В случае если заявка (оферта) подавалась заявителем на бумажном носителе, договор о техническом обслуживании и ремонте внутридомового газового оборудования в многоквартирном доме, договор о техническом обслуживании внутриквартирного газового оборудования в многоквартирном доме, договор о техническом обслуживании внутридомового газового оборудования в жилом доме (домовладении) составляется специализированной организацией на бумажном носителе в 2 экземплярах, которые после их подписания специализированной организацией направляются заявителю почтовым отправлением с уведомлением о вручении. Указанные экземпляры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 (домовладении), полученные от специализированной организации, подписываются за</w:t>
      </w:r>
      <w:r>
        <w:rPr/>
        <w:t xml:space="preserve">явителем, при этом </w:t>
      </w:r>
      <w:r>
        <w:rPr>
          <w:rFonts w:eastAsia="Times New Roman" w:cs="Times New Roman" w:ascii="Times New Roman" w:hAnsi="Times New Roman"/>
          <w:sz w:val="28"/>
          <w:szCs w:val="28"/>
        </w:rPr>
        <w:t xml:space="preserve">один из подписанных сторонами экземпляров возвращается заявителем специализированной организации.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случае если заявка (оферта) подавалась заявителем в виде электронного документа, договор о техническом обслуживании и ремонте внутридомового газового оборудования в многоквартирном доме, договор о техническом обслуживании внутриквартирного газового оборудования в многоквартирном доме, договор о техническом обслуживании внутридомового газового оборудования в жилом доме (домовладении) составляется специализированной организацией в виде электронного документа, который подписывается специализированной организацией и заявителем.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30. Специализированная организация вправе по собственной инициативе направить заявку (оферту) заявителю (заказчику) о заключении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на условиях прилагаемого к такой заявке (оферте) проекта указанного договора, подготовленного в соответствии с Гражданским кодексом Российской Федерации и настоящими Правилами и подписанного со стороны специализированной организации.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Специализированная организация в целях направления заявителю (заказчику) указанной заявки (оферты) может привлекать третьих лиц в порядке, предусмотренном законодательством Российской Федерации, в том числе расчетно-кассовый центр.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31. В случае если сторона, направившая заявку (оферту), в течение 30 дней со дня получения этой заявки (оферты) другой стороной не получила от нее подписанный договор о техническом обслуживании и ремонте внутридомового газового оборудования в многоквартирном доме, договор о техническом обслуживании внутриквартирного газового оборудования в многоквартирном доме или договор о техническом обслуживании внутридомового газового оборудования в жилом доме (домовладении), или ответ о согласии заключить соответствующий договор, или письменный мотивированный отказ от заключения соответствующего договора по основаниям, предусмотренным настоящими Правилами, а также в случае получения отказа от заключения соответствующего договора по основаниям, не предусмотренным настоящими Правилами, сторона, направившая заявку (оферту), вправе обратиться в суд с требованием о понуждении другой стороны, для которой заключение этого договора является обязательным, к заключению договора, за исключением случаев, предусмотренных пунктами 32 и 33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31(1). В отсутствие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специализированная организация вправе инициировать перед поставщиком газа приостановление им своих обязательств по поставке газа по основанию, предусмотренному подпунктом "е" пункта 45 Правил поставки газа для обеспечения коммунально-бытовых нужд граждан, утвержденных постановлением Правительства Российской Федерации от 21 июля 2008 г. N 549 "О порядке поставки газа для обеспечения коммунально-бытовых нужд граждан".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32. Лицо, выступающее на стороне заказчика, вправе отказаться от заключения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 не может быть понуждено к его заключению в следующих случаях: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в случае если от имени собственника помещения или нанимателя жилого помещения по договору социального найма, договору найма жилого помещения жилищного фонда социального использования в многоквартирном доме, нанимателя жилого помещения по договору найма специализированного жилого помещения в многоквартирном доме договор о техническом обслуживании внутриквартирного газового оборудования в многоквартирном доме уже заключен лицом, указанным в пункте 17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в случае если собственником жилого дома (домовладения) договор о техническом обслуживании внутридомового газового оборудования в жилом доме (домовладении) уже заключен с другой специализированной организацией (при использовании в качестве топлива сжиженного углеводородного газа);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в случае если подача газа на внутриквартирное газовое оборудование в многоквартирном доме или внутридомовое газовое оборудование в жилом доме (домовладении) не осуществляется в связи с отсутствием договора поставки газа с поставщиком газа или расторжением такого договора в порядке, предусмотренном законодательством о газоснабжении и жилищным законодательством.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33. Управляющая организация, товарищество или кооператив, выступающие на стороне заказчика, вправе отказаться от заключения договора о техническом обслуживании внутриквартирного газового оборудования в многоквартирном доме и не могут быть понуждены к его заключению в случае, если управляющая организация, товарищество или кооператив не определены решением общего собрания собственников помещений в многоквартирном доме в качестве лица, указанного в пункте 17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34. Лица, указанные в пунктах 32 и 33 настоящих Правил, обязаны уведомить специализированную организацию об отказе от заключения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с указанием причин такого отказа в течение 30 дней со дня получения заявки (оферты) специализированной организации. Уведомление должно быть осуществлено способом, позволяющим установить факт получения специализированной организацией такого уведомления.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35. Утратил силу. - Постановление Правительства РФ от 19.03.2020 N 305.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36. Утратил силу с 1 сентября 2023 года. - Постановление Правительства РФ от 29.05.2023 N 859.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37. Договор о техническом обслуживании и ремонте внутридомового газового оборудования в многоквартирном доме, договор о техническом обслуживании внутриквартирного газового оборудования в многоквартирном доме, договор о техническом обслуживании внутридомового газового оборудования в жилом доме (домовладении) заключаются в письменной форме по типовым формам договоров, утвержденным Министерством строительства и жилищно-коммунального хозяйства Российской Федерации, на срок не менее 3 лет и вступают в силу со дня их подписания последней из подписывающих сторон соответствующего договора, если иной срок вступления в силу не указан в договоре.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Договор о техническом обслуживании и ремонте внутридомового газового оборудования в многоквартирном доме, договор о техническом обслуживании внутриквартирного газового оборудования в многоквартирном доме или договор о техническом обслуживании внутридомового газового оборудования в жилом доме (домовладении) может быть расторгнут в порядке, установленном гражданским законодательством Российской Федерации и настоящими Правилами.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случае заключения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до завершения процедуры подключения (технологического присоединения) к сетям газораспределения объектов капитального строительства, в отношении которых заключается соответствующий договор, исполнение обязательств специализированной организации осуществляется со дня подписания газораспределительной организацией и потребителем акта о подключении (технологическом присоединении).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Специализированная организация обязана направить поставщику газа уведомление о заключенных или прекративших действие договорах о техническом обслуживании и ремонте внутридомового газового оборудования в многоквартирном доме, договорах о техническом обслуживании внутриквартирного газового оборудования в многоквартирном доме или договорах о техническом обслуживании внутридомового газового оборудования в жилом доме (домовладении) в течение 30 календарных дней со дня заключения или прекращения действия таких договоров путем направления электронных или почтовых сообщений, а также иными доступными способами, позволяющими установить факт получения поставщиком газа такого уведомления.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38. Утратил силу с 1 сентября 2023 года. - Постановление Правительства РФ от 29.05.2023 N 859.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39. В договоре о техническом обслуживании и ремонте внутридомового газового оборудования в многоквартирном доме, договоре о техническом обслуживании внутриквартирного газового оборудования в многоквартирном доме или договоре о техническом обслуживании внутридомового газового оборудования в жилом доме (домовладении) указываются: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дата и место заключения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наименование (фирменное наименование) специализированной организации - исполнителя;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реквизиты расчетного счета исполнителя;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г) сведения о заказчике (для гражданина - фамилия, имя, отчество, дата и место рождения, место жительства и реквизиты основного документа, удостоверяющего личность, для юридического лица - наименование (фирменное наименование), его место нахождения (место государственной регистрации));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 адрес многоквартирного дома, адрес квартиры в многоквартирном доме или домовладения, в котором расположено внутридомовое или внутриквартирное газовое оборудование, техническое обслуживание и ремонт которого будут осуществляться по договору о техническом обслуживании и ремонте внутридомового газового оборудования в многоквартирном доме, договору о техническом обслуживании внутриквартирного газового оборудования в многоквартирном доме или договору о техническом обслуживании внутридомового газового оборудования в жилом доме (домовладении);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е) реквизиты акта об определении границы раздела собственности на газораспределительные сети (при наличии такого акта);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ж) количество и типы газоиспользующего оборудования, входящего в состав соответственно внутридомового или внутриквартирного газового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з) тип установленного прибора учета газа (при наличии) и место его присоединения к газопроводу;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и) перечень выполняемых работ (оказываемых услуг) по техническому обслуживанию и (или) ремонту внутридомового газового оборудования или по техническому обслуживанию внутриквартирного газового оборудования, включающий в себя минимальный перечень услуг (работ) по техническому обслуживанию и ремонту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(домовладении), предусмотренный приложением к настоящим Правилам, а также сроки начала и окончания выполнения работ (оказания услуг), включая периодичность выполнения (оказания) отдельных работ (услуг) по техническому обслуживанию внутридомового и (или) внутриквартирного газового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к) цена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л) порядок и сроки оплаты выполненных работ (оказанных услуг) по договору о техническом обслуживании и ремонте внутридомового газового оборудования в многоквартирном доме, договору о техническом обслуживании внутриквартирного газового оборудования в многоквартирном доме или договору о техническом обслуживании внутридомового газового оборудования в жилом доме (домовладении) с учетом положений, предусмотренных разделом V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м) права, обязанности и ответственность сторон;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н) срок действия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 (домовладении);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о) иные условия и положения, которые стороны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сочтут необходимыми и которые не должны противоречить положениям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40. Размер платы за техническое обслуживание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предусмотренное приложением к настоящим Правилам, размер платы за установку (за исключением случаев, предусмотренных правилами технологического присоединения газоиспользующего оборудования к газораспределительным сетям) и замену такого оборудования рассчитываются исполнителем на основании цен (стоимости) услуг по техническому обслуживанию единицы внутридомового газового оборудования в многоквартирном доме, единицы внутриквартирного газового оборудования в многоквартирном доме, единицы внутридомового газового оборудования в жилом доме, предусмотренных приложением к настоящим Правилам, а также цен (стоимости) работ по установке (за исключением случаев, предусмотренных правилами технологического присоединения газоиспользующего оборудования к газораспределительным сетям) и замене такого оборудования, утвержденных исполнительными органами субъектов Российской Федерации в области государственного регулирования цен (тарифов) в соответствии с методическими указаниями по расчету размера платы за предусмотренные приложением к настоящим Правилам техническое обслуживание, установку (за исключением случаев, предусмотренных правилами технологического присоединения газоиспользующего оборудования к газораспределительным сетям) и замену внутридомового и внутриквартирного газового оборудования, утверждаемыми федеральным органом исполнительной власти в области государственного регулирования цен (тарифов).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40(1). Договор о техническом обслуживании и ремонте внутридомового газового оборудования в многоквартирном доме, договор о техническом обслуживании внутриквартирного газового оборудования в многоквартирном доме или договор о техническом обслуживании внутридомового газового оборудования в жилом доме (домовладении) может быть заключен до завершения процедуры подключения (технологического присоединения) к газораспределительным сетям. </w:t>
      </w:r>
    </w:p>
    <w:p>
      <w:pPr>
        <w:pStyle w:val="BodyText"/>
        <w:spacing w:lineRule="atLeast" w:line="285"/>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  </w:t>
      </w:r>
    </w:p>
    <w:p>
      <w:pPr>
        <w:pStyle w:val="BodyText"/>
        <w:spacing w:lineRule="auto" w:line="240"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IV. Порядок и условия исполнения договора о техническом</w:t>
      </w:r>
      <w:r>
        <w:rPr>
          <w:rFonts w:eastAsia="Times New Roman" w:cs="Times New Roman" w:ascii="Times New Roman" w:hAnsi="Times New Roman"/>
          <w:sz w:val="32"/>
          <w:szCs w:val="32"/>
        </w:rPr>
        <w:t xml:space="preserve"> </w:t>
      </w:r>
    </w:p>
    <w:p>
      <w:pPr>
        <w:pStyle w:val="BodyText"/>
        <w:spacing w:lineRule="auto" w:line="240"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обслуживании и ремонте внутридомового газового оборудования</w:t>
      </w:r>
      <w:r>
        <w:rPr>
          <w:rFonts w:eastAsia="Times New Roman" w:cs="Times New Roman" w:ascii="Times New Roman" w:hAnsi="Times New Roman"/>
          <w:sz w:val="32"/>
          <w:szCs w:val="32"/>
        </w:rPr>
        <w:t xml:space="preserve"> </w:t>
      </w:r>
    </w:p>
    <w:p>
      <w:pPr>
        <w:pStyle w:val="BodyText"/>
        <w:spacing w:lineRule="auto" w:line="240"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в многоквартирном доме, договора о техническом обслуживании</w:t>
      </w:r>
      <w:r>
        <w:rPr>
          <w:rFonts w:eastAsia="Times New Roman" w:cs="Times New Roman" w:ascii="Times New Roman" w:hAnsi="Times New Roman"/>
          <w:sz w:val="32"/>
          <w:szCs w:val="32"/>
        </w:rPr>
        <w:t xml:space="preserve"> </w:t>
      </w:r>
    </w:p>
    <w:p>
      <w:pPr>
        <w:pStyle w:val="BodyText"/>
        <w:spacing w:lineRule="auto" w:line="240"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внутриквартирного газового оборудования в многоквартирном</w:t>
      </w:r>
      <w:r>
        <w:rPr>
          <w:rFonts w:eastAsia="Times New Roman" w:cs="Times New Roman" w:ascii="Times New Roman" w:hAnsi="Times New Roman"/>
          <w:sz w:val="32"/>
          <w:szCs w:val="32"/>
        </w:rPr>
        <w:t xml:space="preserve"> </w:t>
      </w:r>
    </w:p>
    <w:p>
      <w:pPr>
        <w:pStyle w:val="BodyText"/>
        <w:spacing w:lineRule="auto" w:line="240"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доме или договора о техническом обслуживании внутридомового</w:t>
      </w:r>
      <w:r>
        <w:rPr>
          <w:rFonts w:eastAsia="Times New Roman" w:cs="Times New Roman" w:ascii="Times New Roman" w:hAnsi="Times New Roman"/>
          <w:sz w:val="32"/>
          <w:szCs w:val="32"/>
        </w:rPr>
        <w:t xml:space="preserve"> </w:t>
      </w:r>
    </w:p>
    <w:p>
      <w:pPr>
        <w:pStyle w:val="BodyText"/>
        <w:spacing w:lineRule="auto" w:line="240"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газового оборудования в жилом доме (домовладении), права</w:t>
      </w:r>
      <w:r>
        <w:rPr>
          <w:rFonts w:eastAsia="Times New Roman" w:cs="Times New Roman" w:ascii="Times New Roman" w:hAnsi="Times New Roman"/>
          <w:sz w:val="32"/>
          <w:szCs w:val="32"/>
        </w:rPr>
        <w:t xml:space="preserve"> </w:t>
      </w:r>
    </w:p>
    <w:p>
      <w:pPr>
        <w:pStyle w:val="BodyText"/>
        <w:spacing w:lineRule="auto" w:line="240"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и обязанности сторон при исполнении указанных договоров</w:t>
      </w:r>
      <w:r>
        <w:rPr>
          <w:rFonts w:eastAsia="Times New Roman" w:cs="Times New Roman" w:ascii="Times New Roman" w:hAnsi="Times New Roman"/>
          <w:sz w:val="32"/>
          <w:szCs w:val="32"/>
        </w:rPr>
        <w:t xml:space="preserve"> </w:t>
      </w:r>
    </w:p>
    <w:p>
      <w:pPr>
        <w:pStyle w:val="BodyText"/>
        <w:spacing w:lineRule="auto" w:line="240"/>
        <w:jc w:val="center"/>
        <w:rPr>
          <w:rFonts w:ascii="Times New Roman" w:hAnsi="Times New Roman" w:cs="Times New Roman"/>
          <w:sz w:val="28"/>
          <w:szCs w:val="28"/>
        </w:rPr>
      </w:pPr>
      <w:r>
        <w:rPr>
          <w:rFonts w:eastAsia="Times New Roman" w:cs="Times New Roman" w:ascii="Times New Roman" w:hAnsi="Times New Roman"/>
          <w:sz w:val="28"/>
          <w:szCs w:val="28"/>
        </w:rPr>
        <w:t xml:space="preserve">  </w:t>
      </w:r>
    </w:p>
    <w:p>
      <w:pPr>
        <w:pStyle w:val="BodyText"/>
        <w:spacing w:lineRule="atLeast" w:line="285"/>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41. Заказчик вправе требовать: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выполнения работ (оказания услуг) по техническому обслуживанию и ремонту внутридомового газового оборудования в многоквартирном доме, выполнения работ (оказания услуг)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в соответствии с настоящими Правилами, иными нормативными правовыми актами, договором о техническом обслуживании и ремонте внутридомового газового оборудования в многоквартирном доме, договором о техническом обслуживании внутриквартирного газового оборудования в многоквартирном доме или договором о техническом обслуживании внутридомового газового оборудования в жилом доме (домовладении);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внесения изменений в условия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в части, касающейся перечня оборудования, входящего в состав обслуживаемого внутридомового или внутриквартирного газового оборудования, в случае изменения количества и типов входящего в его состав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снижения (перерасчета) платы за неисполнение (ненадлежащее исполнение) обязательств, вытекающих из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г) возмещения ущерба, причиненного в результате действий (бездействия) исполнителя;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 расторжения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в одностороннем порядке в случаях и в порядке, которые установлены Гражданским кодексом Российской Федерации, настоящими Правилами и указанным договором.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42. Заказчик обязан: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оплачивать работы (услуги) по техническому обслуживанию внутридомового газового оборудования в многоквартирном доме, техническому обслуживанию внутриквартирного газового оборудования в многоквартирном доме или техническому обслуживанию внутридомового газового оборудования в жилом доме (домовладении), а также работы по ремонту внутридомового газового оборудования в многоквартирном доме в установленные сроки и в полном объеме;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незамедлительно сообщать исполнителю о неисправности оборудования, входящего в состав внутридомового или внутриквартирного газового оборудования, а также об авариях, утечках и иных чрезвычайных ситуациях, возникающих при пользовании газом;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эксплуатировать газовое оборудование в соответствии с установленными для такого оборудования техническими требованиями, а также незамедлительно уведомлять исполнителя об изменении состава внутридомового и (или) внутриквартирного газового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г) обеспечивать доступ представителей исполнителя к внутридомовому и (или) внутриквартирному газовому оборудованию для проведения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а также для приостановления подачи газа в случаях, предусмотренных настоящими Правилами;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 при непосредственном способе управления многоквартирным домом (если на стороне заказчика по договору о техническом обслуживании и ремонте внутридомового газового оборудования в многоквартирном доме выступают собственники помещений в многоквартирном доме) назначить общим собранием собственников помещений в многоквартирном доме лицо, ответственное за обеспечение взаимодействия с исполнителем по вопросам исполнения этого договора, а также доведение до сведения собственников помещений в многоквартирном доме информации, касающейся планируемых даты и времени технического обслуживания и (или) ремонта внутридомового газового оборудования, и иной информации (в том числе организационного характера), касающейся исполнения указанного договора;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е) соблюдать инструкцию по безопасному использованию газа при удовлетворении коммунально-бытовых нужд.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43. Исполнитель обязан: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осуществлять техническое обслуживание наружных газопроводов, входящих в состав внутридомового газового оборудования, и производить следующие операции: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обход трасс надземных и (или) подземных газопроводов - не реже 1 раза в год;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проверка состояния изоляционных покрытий стальных подземных газопроводов приборным методом - первый раз в течение одного года с даты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в дальнейшем - не реже 1 раза в 5 лет;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проверка герметичности подземных газопроводов - первый раз в течение одного года с даты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в дальнейшем - не реже 1 раза в 5 лет;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осуществлять ежегодное (за исключением случаев, предусмотренных пунктами 46(1) и 46(2) настоящих Правил) техническое обслуживание внутридомового и (или) внутриквартирного газового оборудования с учетом минимального перечня услуг (работ) по техническому обслуживанию и ремонту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предусмотренного приложением к настоящим Правилам. При этом первое техническое обслуживание должно быть проведено в течение 12 месяцев с даты заключения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далее - 1 раз в течение 12 месяцев с даты последнего технического обслуживания;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утратил силу. - Постановление Правительства РФ от 09.09.2017 N 1091;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г) при очередном техническом обслуживании внутридомового или внутриквартирного газового оборудования в многоквартирном доме проводить инструктаж заказчика по безопасному использованию газа при удовлетворении коммунально-бытовых нужд, который осуществляется в устной форме с передачей (непосредственно после проведения инструктажа) заказчику копии инструкции по безопасному использованию газа при удовлетворении коммунально-бытовых нужд на бумажном носителе и (или) в электронной форме (в случае утраты заказчиком копии указанной инструкции) путем вручения заказчику материального носителя, отправки на адрес электронной почты заказчика или указания в подписываемом заказчиком и исполнителем акте адреса размещения указанной инструкции на сайте специализированной организации в информационно-телекоммуникационной сети "Интернет". Факт передачи копии указанной инструкции и проведения указанного инструктажа фиксируется в акте, подписываемом заказчиком и исполнителем;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 при очередном техническом обслуживании внутридомового или внутриквартирного газового оборудования осуществлять техническое обслуживание резервуарной, групповой или индивидуальной баллонной установки сжиженных углеводородных газов, а также проверку наличия тяги в дымовых и вентиляционных каналах, состояния соединительных труб с дымовым каналом;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е) осуществлять техническое обслуживание резервуарной (для одного домовладения) и групповой баллонной установки сжиженных углеводородных газов, входящей в состав внутридомового газового оборудования, - не реже 1 раза в 3 месяца;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ж) выполнять работы по ремонту внутридомового газового оборудования в многоквартирном доме на основании заявок заказчика, а также выполнять работы по установке, замене и ремонту внутриквартирного газового оборудования в многоквартирном доме и внутридомового газового оборудования в жилом доме (домовладении) по отдельному договору с заказчиком;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з) обеспечивать заказчику возможность ознакомиться с документацией, регламентирующей проведение технологических операций, входящих в состав работ (услуг) по техническому обслуживанию и ремонту внутридомового и внутриквартирного газового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и) по запросу органов жилищного надзора (контроля) предоставлять необходимые сведения о действующих договорах о техническом обслуживании и ремонте внутридомового газового оборудования в многоквартирном доме, договорах о техническом обслуживании внутриквартирного газового оборудования в этом же многоквартирном доме, договорах о техническом обслуживании внутридомового газового оборудования в жилом доме (домовладении) в течение 5 дней со дня получения такого запроса.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44. Исполнитель вправе: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требовать от заказчика исполнения условий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 требований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посещать помещения в многоквартирном доме, где установлено внутридомовое и (или) внутриквартирное газовое оборудование, при проведении работ (оказании услуг) по техническому обслуживанию и ремонту такого внутридомового газового оборудования в многоквартирном доме и (или) по техническому обслуживанию внутриквартирного газового оборудования в многоквартирном доме, а также помещения в жилом доме (домовладении), где установлено внутридомовое газовое оборудование, с соблюдением порядка предварительного уведомления заказчика, предусмотренного пунктами 46 - 53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привлекать иные организации для выполнения работ по ремонту внутриквартирного газового оборудования в многоквартирном доме и внутридомового газового оборудования в жилом доме, не предусмотренных минимальным перечнем к настоящим Правилам, на основании отдельных договоров при сохранении ответственности исполнителя перед заказчиком за надлежащее и своевременное выполнение работ (оказание услуг) по указанным договорам.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45. Заявка заказчика на проведение работ по ремонту внутридомового или внутриквартирного газового оборудования в многоквартирном доме или внутридомового газового оборудования в жилом доме (домовладении) подается по телефону, в электронной или письменной форме в диспетчерскую службу исполнителя. Указанная заявка должна быть зарегистрирована сотрудником исполнителя, принявшим ее, с указанием даты и времени ее поступления. При регистрации заявки заказчику сообщаются дата и время такой регистрации, регистрационный номер заявки и фамилия сотрудника, зарегистрировавшего заявку. Работы по ремонту внутридомового или внутриквартирного газового оборудования в многоквартирном доме или внутридомового газового оборудования в жилом доме (домовладении) должны быть начаты в течение одних суток с момента поступления от заказчика соответствующей заявки, а на проведение работ по ремонту отопительного оборудования в отопительный сезон - в течение 6 часов, если нормативными правовыми актами не установлены требования по незамедлительному проведению ремонтных работ.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46. В целях выполнения плановых работ (оказания услуг) по техническому обслуживанию внутридомового и внутриквартирного газового оборудования исполнитель составляет графики (годовые, квартальные и месячные), информация о которых размещается на официальном сайте исполнителя в информационно-телекоммуникационной сети "Интернет". Исполнитель уведомляет заказчиков о дате и времени выполнения работ (оказания услуг) по техническому обслуживанию внутридомового и (или) внутриквартирного газового оборудования не позднее чем за 20 календарных дней до выполнения работ (оказания услуг) способом, выбранным заказчиком при заключении договора, если иное не предусмотрено договором по такому техническому обслуживанию. В уведомлении о выполнении работ (оказания услуг) должно содержаться предупреждение о последствиях отказа в допуске исполнителя к выполнению работ по техническому обслуживанию внутридомового и (или) внутриквартирного газового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Не позднее чем за 3 календарных дня до начала выполнения работ исполнитель дополнительно уведомляет заказчика о дате и времени выполнения работ (оказания услуг) по техническому обслуживанию внутридомового и (или) внутриквартирного газового оборудования путем направления сообщения по сети подвижной радиотелефонной связи на пользовательское оборудование, или путем передачи голосовой информации по сети фиксированной телефонной связи, или через личный кабинет заявителя либо личный кабинет в государственной информационной системе жилищно-коммунального хозяйства (при наличии у исполнителя сведений, необходимых для осуществления дополнительного уведомления указанными способами).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46(1). Заказчик не позднее чем за 3 дня до планируемой даты выполнения работ (оказания услуг) по техническому обслуживанию внутридомового и внутриквартирного газового оборудования, доведенной до его сведения в порядке, предусмотренном пунктом 46 настоящих Правил, вправе однократно обратиться к исполнителю с предложением о переносе даты и времени выполнения работ (оказания услуг) по техническому обслуживанию внутридомового и (или) внутриквартирного газового оборудования. При этом предлагаемая заказчиком дата выполнения работ (оказания услуг) по техническому обслуживанию внутридомового и (или) внутриквартирного газового оборудования может быть не более чем на 30 дней позднее даты его обращения к исполнителю. В этом случае окончательные дата и время проведения работ (оказания услуг) по техническому обслуживанию внутридомового и (или) внутриквартирного газового оборудования определяются по согласованию между заказчиком и исполнителем.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46(2). Исполнитель не позднее чем за 3 дня до планируемой даты выполнения работ (оказания услуг) по техническому обслуживанию внутридомового и (или) внутриквартирного газового оборудования, доведенной до сведения заказчика в порядке, предусмотренном пунктом 46 настоящих Правил, вправе однократно обратиться к заказчику с предложением о переносе даты и времени выполнения работ (оказания услуг) по техническому обслуживанию внутридомового и (или) внутриквартирного газового оборудования. При этом предлагаемая исполнителем дата выполнения работ (оказания услуг) по техническому обслуживанию внутридомового и (или) внутриквартирного газового оборудования может быть не более чем на 30 дней позднее даты его обращения к заказчику. В этом случае окончательные дата и время проведения работ (оказания услуг) по техническому обслуживанию внутридомового и (или) внутриквартирного газового оборудования определяются по согласованию между заказчиком и исполнителем.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47. Лицо, осуществляющее управление многоквартирным домом, информирует собственников помещений в многоквартирном доме, в которых расположено внутридомовое и (или) внутриквартирное газовое оборудование, о недопустимости воспрепятствования допуску в такие помещения для выполнения работ (оказания услуг) по техническому обслуживанию и ремонту внутридомового и (или) внутриквартирного газового оборудования, работ по приостановлению подачи газа, работ и услуг по проверке состояния и функционирования дымовых и вентиляционных каналов, а также о последствиях отказа в таком допуске.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Лицо, осуществляющее управление многоквартирным домом, несет ответственность за обеспечение допуска исполнителя к внутридомовому газовому оборудованию многоквартирного дома, а также дымовым и вентиляционным каналам, за исключением допуска к внутридомовому газовому оборудованию, а также дымовым и вентиляционным каналам, расположенным в помещениях, не являющихся общедомовым имуществом.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Ответственность за допуск исполнителя к газовому оборудованию, а также дымовым и вентиляционным каналам, расположенным в помещениях многоквартирного дома, не являющихся общедомовым имуществом, несут собственники указанных помещений.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48 - 51. Утратили силу с 1 марта 2026 года. - Постановление Правительства РФ от 29.11.2025 N 1967.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52. Исполнитель в дату и время, определенные в соответствии с пунктами 46(1) и 46(2) настоящих Правил, выполняет работы (оказывает услуги) по техническому обслуживанию внутридомового и (или) внутриквартирного газового оборудования, связанные с необходимостью получения доступа в соответствующее жилое или нежилое помещение.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53. Если заказчик 2 раза и более не допустил (не обеспечил допуск) представителей исполнителя в жилое или нежилое помещение для выполнения предусмотренных договором о техническом обслуживании и ремонте внутридомового газового оборудования в многоквартирном доме, договором о техническом обслуживании внутриквартирного газового оборудования в многоквартирном доме или договором о техническом обслуживании внутридомового газового оборудования в жилом доме (домовладении) работ по техническому обслуживанию внутридомового и (или) внутриквартирного газового оборудования в дату и время, определенные в соответствии с пунктами 46(1) и 46(2) настоящих Правил (в том числе по причине отсутствия заказчика в помещении), представитель исполнителя составляет акт об отказе в допуске к внутридомовому и (или) внутриквартирному газовому оборудованию, расположенному в соответствующем помещении, и о невозможности проведения работ по техническому обслуживанию указанного оборудования в соответствии с указанными договорами. Указанный акт подписывается представителем исполнителя и заказчиком (его уполномоченным представителем), а в случае отказа (отсутствия) заказчика (его уполномоченного представителя) от подписания акта - представителем исполнителя и 2 незаинтересованными лицами.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акте указываются дата и время прибытия сотрудников исполнителя для выполнения работ (оказания услуг) по техническому обслуживанию внутридомового и (или) внутриквартирного газового оборудования, причины отказа заказчика в допуске сотрудников исполнителя к внутридомовому и (или) внутриквартирному газовому оборудованию (если заказчик сообщил о таких причинах) и иные сведения, свидетельствующие о действиях (бездействии) заказчика, препятствующих сотрудникам исполнителя в проведении работ по техническому обслуживанию внутридомового и (или) внутриквартирного газового оборудования. Один экземпляр акта сотрудники исполнителя передают заказчику (его уполномоченному представителю), а при отказе последнего от принятия акта или в случае отсутствия его в помещении направляют копию акта в течение 10 дней заказчику способом, позволяющим установить факт получения им такого акта.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Копия акта направляется исполнителем в орган жилищного надзора (контроля).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54. Исполнитель в течение 10 календарных дней после получения от заказчика, в отношении которого составлен акт об отказе в допуске к внутридомовому и (или) внутриквартирному газовому оборудованию, заявления о готовности допустить сотрудников исполнителя в помещение для выполнения работ (оказания услуг) по техническому обслуживанию внутридомового и (или) внутриквартирного газового оборудования обязан провести указанные работы (оказать услуги).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55. Выполнение работ (оказание услуг) по договору о техническом обслуживании и ремонте внутридомового газового оборудования в многоквартирном доме, договору о техническом обслуживании внутриквартирного газового оборудования в многоквартирном доме или договору о техническом обслуживании внутридомового газового оборудования в жилом доме (домовладении) подтверждается актом сдачи-приемки выполненных работ (оказанных услуг), составляемым в 2 экземплярах - по одному для каждой из сторон этого договора (заказчика и исполнителя), подписываемым сотрудником исполнителя, непосредственно проводившим работы (оказавшим услуги), и заказчиком. Акт содержит следующую информацию: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дата, время и место составления акта;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наименование исполнителя, выполнившего работы (оказавшего услуги) с указанием фамилии, инициалов и должности сотрудника (сотрудников) исполнителя, непосредственно выполнявшего работы (оказывавшего услуги);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наименование заказчика - юридического лица (фамилию, имя, отчество заказчика - физического лица);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г) реквизиты (номер и дата заключения)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во исполнение которого осуществлялось выполнение работ (оказание услуг);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 перечень выполненных работ (оказанных услуг);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е) дата и время выполнения работ (оказания услуг). </w:t>
      </w:r>
    </w:p>
    <w:p>
      <w:pPr>
        <w:pStyle w:val="BodyText"/>
        <w:spacing w:lineRule="atLeast" w:line="285" w:before="165" w:after="140"/>
        <w:ind w:firstLine="54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56. В случае отказа заказчика от подписания акта об этом делается отметка в акте с указанием причины отказа (если таковые были заявлены). Заказчик вправе изложить в акте особое мнение, касающееся результатов выполнения работ (оказания услуг), или приобщить к акту свои возражения в письменной форме, о чем делается запись в акте. Второй экземпляр акта вручается заказчику (его представителю), а в случае его отказа принять акт - направляется по почте с уведомлением о вручении и описью вложения. </w:t>
      </w:r>
    </w:p>
    <w:p>
      <w:pPr>
        <w:pStyle w:val="BodyText"/>
        <w:spacing w:lineRule="atLeast" w:line="285"/>
        <w:ind w:firstLine="54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p>
    <w:p>
      <w:pPr>
        <w:pStyle w:val="BodyText"/>
        <w:spacing w:lineRule="atLeast" w:line="285"/>
        <w:ind w:firstLine="54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BodyText"/>
        <w:spacing w:lineRule="atLeast" w:line="285"/>
        <w:ind w:firstLine="54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BodyText"/>
        <w:spacing w:lineRule="atLeast" w:line="285"/>
        <w:ind w:firstLine="54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BodyText"/>
        <w:spacing w:lineRule="atLeast" w:line="285"/>
        <w:ind w:firstLine="54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BodyText"/>
        <w:spacing w:lineRule="atLeast" w:line="285"/>
        <w:ind w:firstLine="54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BodyText"/>
        <w:spacing w:lineRule="atLeast" w:line="285"/>
        <w:ind w:firstLine="540"/>
        <w:jc w:val="both"/>
        <w:rPr>
          <w:rFonts w:ascii="Times New Roman" w:hAnsi="Times New Roman" w:cs="Times New Roman"/>
          <w:sz w:val="28"/>
          <w:szCs w:val="28"/>
        </w:rPr>
      </w:pPr>
      <w:r>
        <w:rPr>
          <w:rFonts w:cs="Times New Roman" w:ascii="Times New Roman" w:hAnsi="Times New Roman"/>
          <w:sz w:val="28"/>
          <w:szCs w:val="28"/>
        </w:rPr>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V. Порядок расчетов по договору о техническом</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обслуживании и ремонте внутридомового газового оборудования</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в многоквартирном доме, договору о техническом обслуживании</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внутриквартирного газового оборудования в многоквартирном</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доме или договору о техническом обслуживании внутридомового</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газового оборудования в жилом доме (домовладении)</w:t>
      </w:r>
      <w:r>
        <w:rPr>
          <w:rFonts w:eastAsia="Times New Roman" w:cs="Times New Roman" w:ascii="Times New Roman" w:hAnsi="Times New Roman"/>
          <w:sz w:val="32"/>
          <w:szCs w:val="32"/>
        </w:rPr>
        <w:t xml:space="preserve"> </w:t>
      </w:r>
    </w:p>
    <w:p>
      <w:pPr>
        <w:pStyle w:val="BodyText"/>
        <w:jc w:val="center"/>
        <w:rPr>
          <w:rFonts w:ascii="Times New Roman" w:hAnsi="Times New Roman" w:cs="Times New Roman"/>
          <w:sz w:val="28"/>
          <w:szCs w:val="28"/>
        </w:rPr>
      </w:pPr>
      <w:r>
        <w:rPr>
          <w:rFonts w:eastAsia="Times New Roman" w:cs="Times New Roman" w:ascii="Times New Roman" w:hAnsi="Times New Roman"/>
          <w:sz w:val="28"/>
          <w:szCs w:val="28"/>
        </w:rPr>
        <w:t xml:space="preserve">  </w:t>
      </w:r>
    </w:p>
    <w:p>
      <w:pPr>
        <w:pStyle w:val="BodyText"/>
        <w:spacing w:lineRule="atLeast" w:line="285"/>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57. Оплата работ (услуг) по техническому обслуживанию внутридомового или внутриквартирного газового оборудования осуществляется заказчиком по ценам, установленным исполнителем на дату проведения технического обслуживания, которые рассчитываются из суммы цен (стоимости) услуг по техническому обслуживанию каждой единицы внутридомового газового оборудования в многоквартирном доме, каждой единицы внутриквартирного газового оборудования или каждой единицы внутридомового газового оборудования в жилом доме, которые устанавливаются исполнительными органами субъектов Российской Федерации в области государственного регулирования цен (тарифов) в соответствии с методическими указаниями по расчету размера платы за предусмотренные приложением к настоящим Правилам техническое обслуживание, установку (за исключением случаев, предусмотренных правилами технологического присоединения газоиспользующего оборудования к газораспределительным сетям) и замену внутридомового и внутриквартирного газового оборудования, утверждаемыми федеральным органом исполнительной власти в области государственного регулирования цен (тарифов).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57(1). Оплата работ по установке (за исключением случаев, предусмотренных правилами технологического присоединения газоиспользующего оборудования к газораспределительным сетям) или замене внутридомового или внутриквартирного газового оборудования осуществляется заказчиком по ценам, установленным на дату проведения этих работ исполнительными органами субъектов Российской Федерации в области государственного регулирования цен (тарифов) в соответствии с методическими указаниями по расчету размера платы за предусмотренные приложением к настоящим Правилам техническое обслуживание, установку (за исключением случаев, предусмотренных правилами технологического присоединения газоиспользующего оборудования к газораспределительным сетям) и замену внутридомового и внутриквартирного газового оборудования, утверждаемыми федеральным органом исполнительной власти в области государственного регулирования цен (тарифов).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57(2). Оплата работ по ремонту (за исключением случаев, предусмотренных статьей 166 Жилищного кодекса Российской Федерации) внутридомового газового оборудования многоквартирного дома осуществляется заказчиком по ценам, установленным исполнителем на дату проведения таких работ.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57(3). Оплата работ по ремонту внутриквартирного газового оборудования или внутридомового газового оборудования в жилом доме (домовладении), не предусмотренных приложением к настоящим Правилам, осуществляется заказчиком по ценам и в сроки, которые установлены договором на проведение таких работ, заключенным между заказчиком и исполнителем или иной организацией, отвечающей требованиям к организациям, осуществляющим ремонт газового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58. Оплата работ по ремонту внутридомового газового оборудования в многоквартирном доме осуществляется в срок, установленный договором о техническом обслуживании и ремонте внутридомового газового оборудования в многоквартирном доме, а если такой срок этим договором не установлен - не позднее 10-го числа месяца, следующего за месяцем, в котором были выполнены указанные работы.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Оплата работ (услуг) по техническому обслуживанию внутридомового газового оборудования в многоквартирном доме, в том числе в виде абонентской платы, осуществляется заказчиком в срок, установленный договором о техническом обслуживании и ремонте внутридомового газового оборудования в многоквартирном доме, а если такой срок этим договором не установлен - ежемесячно равными платежами, не позднее 10-го числа месяца, следующего за месяцем, в котором были выполнены соответствующие работы (оказаны соответствующие услуги).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59. Оплата работ (услуг) по техническому обслуживанию внутридомового газового оборудования в многоквартирном доме, и (или) внутриквартирного газового оборудования в многоквартирном доме, и (или) внутридомового газового оборудования в жилом доме (домовладении) осуществляется заказчиком в размере, рассчитываемом исполнителем в соответствии с методическими указаниями по расчету размера платы за предусмотренные приложением к настоящим Правилам техническое обслуживание, установку (за исключением случаев, предусмотренных правилами технологического присоединения газоиспользующего оборудования к газораспределительным сетям) и замену внутридомового и внутриквартирного газового оборудования, утверждаемыми федеральным органом исполнительной власти в области государственного регулирования цен (тарифов), и в срок, установленный договором о техническом обслуживании и ремонте внутридомового газового оборудования в многоквартирном доме, договором о техническом обслуживании внутриквартирного газового оборудования в многоквартирном доме или договором о техническом обслуживании внутридомового газового оборудования в жилом доме (домовладении), а если такой срок соответствующим договором не установлен - ежемесячно равными платежами, не позднее 10-го числа месяца, следующего за месяцем, в котором были выполнены соответствующие работы (оказаны соответствующие услуги). </w:t>
      </w:r>
    </w:p>
    <w:p>
      <w:pPr>
        <w:pStyle w:val="BodyText"/>
        <w:spacing w:lineRule="atLeast" w:line="285"/>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  </w:t>
      </w:r>
    </w:p>
    <w:p>
      <w:pPr>
        <w:pStyle w:val="BodyText"/>
        <w:spacing w:lineRule="atLeast" w:line="285"/>
        <w:ind w:firstLine="540"/>
        <w:jc w:val="both"/>
        <w:rPr>
          <w:rFonts w:ascii="Times New Roman" w:hAnsi="Times New Roman" w:cs="Times New Roman"/>
          <w:sz w:val="28"/>
          <w:szCs w:val="28"/>
        </w:rPr>
      </w:pPr>
      <w:r>
        <w:rPr/>
      </w:r>
    </w:p>
    <w:p>
      <w:pPr>
        <w:pStyle w:val="BodyText"/>
        <w:spacing w:lineRule="atLeast" w:line="285"/>
        <w:ind w:firstLine="540"/>
        <w:jc w:val="both"/>
        <w:rPr>
          <w:rFonts w:ascii="Times New Roman" w:hAnsi="Times New Roman" w:cs="Times New Roman"/>
          <w:sz w:val="28"/>
          <w:szCs w:val="28"/>
        </w:rPr>
      </w:pPr>
      <w:r>
        <w:rPr/>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VI. Основания, порядок и условия изменения и расторжения</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договора о техническом обслуживании и ремонте внутридомового</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газового оборудования в многоквартирном доме, договора</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о техническом обслуживании внутриквартирного газового</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оборудования в многоквартирном доме, договора о техническом</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обслуживании внутридомового газового оборудования в жилом</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доме (домовладении) или договора по установке и замене</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газового оборудования</w:t>
      </w:r>
      <w:r>
        <w:rPr>
          <w:rFonts w:eastAsia="Times New Roman" w:cs="Times New Roman" w:ascii="Times New Roman" w:hAnsi="Times New Roman"/>
          <w:sz w:val="32"/>
          <w:szCs w:val="32"/>
        </w:rPr>
        <w:t xml:space="preserve"> </w:t>
      </w:r>
    </w:p>
    <w:p>
      <w:pPr>
        <w:pStyle w:val="BodyText"/>
        <w:jc w:val="center"/>
        <w:rPr>
          <w:rFonts w:ascii="Times New Roman" w:hAnsi="Times New Roman" w:cs="Times New Roman"/>
          <w:sz w:val="28"/>
          <w:szCs w:val="28"/>
        </w:rPr>
      </w:pPr>
      <w:r>
        <w:rPr>
          <w:rFonts w:eastAsia="Times New Roman" w:cs="Times New Roman" w:ascii="Times New Roman" w:hAnsi="Times New Roman"/>
          <w:sz w:val="28"/>
          <w:szCs w:val="28"/>
        </w:rPr>
        <w:t xml:space="preserve">  </w:t>
      </w:r>
    </w:p>
    <w:p>
      <w:pPr>
        <w:pStyle w:val="BodyText"/>
        <w:spacing w:lineRule="atLeast" w:line="285"/>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60. Изменение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 (домовладении), в том числе перечня оборудования, входящего в состав внутридомового или внутриквартирного газового оборудования, оформляется путем заключения в письменной форме дополнительного соглашения к соответствующему договору, за исключением цены договора, которая определяется в соответствии с пунктом 57 настоящих Правил, и может быть изменена исполнителем указанным способом при возобновлении соответствующего договора в соответствии с пунктом 37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61. Заказчик, полностью оплативший работы (услуги) по техническому обслуживанию и ремонту внутридомового и (или) внутриквартирного газового оборудования, выполненные (оказанные) исполнителем по заключенному с ним договору о техническом обслуживании и ремонте внутридомового газового оборудования в многоквартирном доме, договору о техническом обслуживании внутриквартирного газового оборудования в многоквартирном доме или договору о техническом обслуживании внутридомового газового оборудования в жилом доме (домовладении), имеет право на односторонний отказ от соответствующего договора (его исполнения) в следующих случаях: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прекращение газоснабжения в порядке, предусмотренном законодательством о газоснабжении и жилищным законодательством, - если заказчиком по договору о техническом обслуживании внутриквартирного газового оборудования выступает собственник помещения в многоквартирном доме или заказчиком по договору о техническом обслуживании внутридомового газового оборудования в отношении внутридомового газового оборудования в жилом доме (домовладении) выступает собственник в жилом доме (домовладении);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прекращение газоснабжения в порядке, предусмотренном законодательством о газоснабжении и жилищным законодательством, - если заказчиком по договору о техническом обслуживании и ремонте внутридомового газового оборудования в отношении внутридомового газового оборудования многоквартирного дома выступают управляющая организация (товарищество или кооператив), индивидуальный предприниматель или собственники помещений в многоквартирном доме;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прекращение обязанности управляющей организации (товарищества или кооператива) по содержанию внутридомового газового оборудования в многоквартирном доме - если заказчиком по договору о техническом обслуживании и ремонте внутридомового газового оборудования в многоквартирном доме выступает управляющая организация (товарищество или кооператив).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62. Договор о техническом обслуживании и ремонте внутридомового газового оборудования в многоквартирном доме, договор о техническом обслуживании внутриквартирного газового оборудования в многоквартирном доме или договор о техническом обслуживании внутридомового газового оборудования в жилом доме (домовладении) в случаях, указанных в пункте 61 настоящих Правил, считается расторгнутым со дня получения исполнителем соответствующего письменного уведомления заказчика, направленного одним из способов, указанных в пункте 18(1) настоящих Правил, при условии, что ко дню поступления такого уведомления выполненные работы (оказанные услуги) по техническому обслуживанию и ремонту внутридомового и (или) внутриквартирного газового оборудования полностью оплачены, а газоснабжение газового оборудования заказчика прекращено (при расторжении соответствующего договора по основанию, предусмотренному подпунктом "а" или "б" пункта 61 настоящих Правил), или со дня, следующего за днем выполнения указанных условий.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случае если расторжение договора из числа договоров, указанных в абзаце первом настоящего пункта, осуществляется по основанию, предусмотренному в подпункте "а" или "б" пункта 61 настоящих Правил, то такой договор считается расторгнутым со дня, следующего за днем получения от поставщика газа подтверждения прекращения газоснабжения соответствующего газового оборудования, предоставленного поставщиком газа по запросу исполнителя. Указанный информационный обмен между исполнителем и поставщиком газа должен состояться в течение одного рабочего дня со дня получения исполнителем уведомления заказчика, указанного в абзаце первом настоящего пункта.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63. Утратил силу. - Постановление Правительства РФ от 09.09.2017 N 1091.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63(1). Основанием для одностороннего отказа исполнителя от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(их исполнения) является несоответствие исполнителя требованиям к специализированным организациям, установленным настоящими Правилами.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указанном случае исполнитель обязан разместить уведомление об отсутствии (утрате) статуса специализированной организации на своем официальном сайте в информационно-телекоммуникационной сети "Интернет" и уведомить об отсутствии (утрате) такого статуса заказчика способом, определенным в соответствующем заключенном договоре.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64. Договор о техническом обслуживании и ремонте внутридомового газового оборудования в многоквартирном доме, договор о техническом обслуживании внутриквартирного газового оборудования в многоквартирном доме или договор о техническом обслуживании внутридомового газового оборудования в жилом доме (домовладении) по иску исполнителя может быть расторгнут в судебном порядке в случае, если срок не погашенной заказчиком задолженности по оплате выполненных работ (оказанных услуг) по техническому обслуживанию и ремонту внутридомового или внутриквартирного газового оборудования превышает 6 месяцев подряд.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65. Договор о техническом обслуживании и ремонте внутридомового газового оборудования в многоквартирном доме, договор о техническом обслуживании внутриквартирного газового оборудования в многоквартирном доме или договор о техническом обслуживании внутридомового газового оборудования в жилом доме (домовладении) может быть расторгнут по иным основаниям, предусмотренным законодательством Российской Федерации. </w:t>
      </w:r>
    </w:p>
    <w:p>
      <w:pPr>
        <w:pStyle w:val="BodyText"/>
        <w:spacing w:lineRule="atLeast" w:line="285"/>
        <w:ind w:firstLine="540"/>
        <w:jc w:val="both"/>
        <w:rPr/>
      </w:pPr>
      <w:r>
        <w:rPr/>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VII. Ответственность заказчика и исполнителя по договору</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о техническом обслуживании и ремонте внутридомового газового</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оборудования в многоквартирном доме, договору о техническом</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обслуживании внутриквартирного газового оборудования</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в многоквартирном доме, договору о техническом</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обслуживании внутридомового газового оборудования</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в жилом доме (домовладении)</w:t>
      </w:r>
      <w:r>
        <w:rPr>
          <w:rFonts w:eastAsia="Times New Roman" w:cs="Times New Roman" w:ascii="Times New Roman" w:hAnsi="Times New Roman"/>
          <w:sz w:val="32"/>
          <w:szCs w:val="32"/>
        </w:rPr>
        <w:t xml:space="preserve"> </w:t>
      </w:r>
    </w:p>
    <w:p>
      <w:pPr>
        <w:pStyle w:val="BodyText"/>
        <w:jc w:val="center"/>
        <w:rPr>
          <w:rFonts w:ascii="Times New Roman" w:hAnsi="Times New Roman" w:cs="Times New Roman"/>
          <w:sz w:val="32"/>
          <w:szCs w:val="32"/>
        </w:rPr>
      </w:pPr>
      <w:r>
        <w:rPr>
          <w:rFonts w:eastAsia="Times New Roman" w:cs="Times New Roman" w:ascii="Times New Roman" w:hAnsi="Times New Roman"/>
          <w:sz w:val="32"/>
          <w:szCs w:val="32"/>
        </w:rPr>
        <w:t xml:space="preserve">  </w:t>
      </w:r>
    </w:p>
    <w:p>
      <w:pPr>
        <w:pStyle w:val="BodyText"/>
        <w:spacing w:lineRule="atLeast" w:line="285"/>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66. Исполнитель несет установленную Гражданским кодексом Российской Федерации, Законом Российской Федерации "О защите прав потребителей" и договором о техническом обслуживании и ремонте внутридомового газового оборудования в многоквартирном доме, договором о техническом обслуживании внутриквартирного газового оборудования в многоквартирном доме или договором о техническом обслуживании внутридомового газового оборудования в жилом доме (домовладении) гражданско-правовую ответственность: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за нарушение качества выполнения работ (оказания услуг) по техническому обслуживанию и ремонту внутридомового и внутриквартирного газового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за вред, причиненный жизни, здоровью и имуществу заказчика вследствие нарушения качества выполнения работ (оказания услуг) по техническому обслуживанию и ремонту внутридомового и внутриквартирного газового оборудования или непредоставления потребителю полной и достоверной информации о выполняемых работах (оказываемых услугах);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за убытки, причиненные заказчику в результате нарушения исполнителем прав заказчика, в том числе в результате заключения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содержащего условия, ущемляющие права заказчика, предусмотренные Законом Российской Федерации "О защите прав потребителей" и настоящими Правилами.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67. Исполнитель, допустивший нарушение качества выполнения работ (оказания услуг) по техническому обслуживанию и ремонту внутридомового газового оборудования в многоквартирном доме,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(в том числе сроков выполнения ремонтных работ, периодичности работ по техническому обслуживанию внутридомового газового оборудования в многоквартирном доме,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обязан произвести перерасчет размера платы заказчика (при наличии соответствующего обращения от заказчика) за выполненные работы (оказанные услуги) в сторону ее уменьшения, имея в виду исключение из этой платы стоимости тех услуг (работ), которые не были выполнены должным образом или в результате выполнения которых не был получен надлежащий результат, что обусловливает повторное (внеплановое) проведение таких работ. При этом перерасчет платы производится вплоть до полного освобождения заказчика от ее внесения.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68. Исполнитель освобождается от ответственности за нарушение качества выполнения работ (оказания услуг) по техническому обслуживанию и ремонту внутридомового газового оборудования в многоквартирном доме,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если докажет, что такое нарушение произошло вследствие обстоятельств непреодолимой силы или по вине заказчика. К обстоятельствам непреодолимой силы не относятся, в частности, нарушение обязательств со стороны контрагентов исполнителя или действия (бездействие) исполнителя, включая отсутствие у исполнителя необходимых денежных средств.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69. Вред, причиненный жизни, здоровью или имуществу заказчика вследствие нарушения качества выполнения работ (оказания услуг) по техническому обслуживанию и ремонту внутридомового газового оборудования в многоквартирном доме,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или непредоставления заказчику полной и достоверной информации о выполняемых работах (оказываемых услугах) по техническому обслуживанию и ремонту внутридомового газового оборудования в многоквартирном доме,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подлежит возмещению исполнителем в полном объеме независимо от вины исполнителя в соответствии с главой 59 Гражданского кодекса Российской Федерации.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70. В случае причинения исполнителем ущерба имуществу заказчика, в том числе общему имуществу собственников помещений в многоквартирном доме, исполнитель и заказчик (или его представитель) составляют и подписывают акт о причинении ущерба имуществу заказчика и (или)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Указанный акт должен быть составлен исполнителем и подписан им не позднее дня, следующего за днем обращения заказчика к исполнителю. При невозможности подписания акта заказчиком (или его представителем), в том числе по причине его отсутствия в занимаемом помещении, акт подписывается помимо исполнителя также 2 незаинтересованными лицами. Акт составляется в 2 экземплярах, один из которых передается заказчику (или его представителю), второй - остается у исполнителя.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71. Заказчик вправе требовать от исполнителя наряду с перерасчетом размера платы за техническое обслуживание и ремонт внутридомового газового оборудования в многоквартирном доме, техническое обслуживание внутриквартирного газового оборудования в многоквартирном доме или внутридомового газового оборудования в жилом доме (домовладении) уплаты неустоек (штрафов, пеней) в случаях и размере, которые предусмотрены Законом Российской Федерации "О защите прав потребителей".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72. Требования заказчика об уплате неустойки (пени), предусмотренной Законом Российской Федерации "О защите прав потребителей" или договором о техническом обслуживании и ремонте внутридомового газового оборудования в многоквартирном доме, договором о техническом обслуживании внутриквартирного газового оборудования в многоквартирном доме или договором о техническом обслуживании внутридомового газового оборудования в жилом доме (домовладении), подлежат удовлетворению исполнителем в добровольном порядке. При удовлетворении судом требований заказчика, установленных Законом Российской Федерации "О защите прав потребителей", суд взыскивает с исполнителя за несоблюдение в добровольном порядке удовлетворения требований заказчика штраф в размере 50 процентов суммы, присужденной судом в пользу заказчика.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Уплата неустойки (пени) не освобождает исполнителя от обязанности выполнить (оказать) предусмотренные договором работы (услуги).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73. Исполнитель не вправе без согласия заказчика выполнять дополнительные работы и оказывать услуги за плату. Заказчик вправе отказаться от оплаты таких работ (услуг), а если они оплачены, заказчик вправе потребовать от исполнителя возврата уплаченной суммы.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74. Заказчик несет установленную законодательством Российской Федерации, а также договором о техническом обслуживании и ремонте внутридомового газового оборудования в многоквартирном доме, договором о техническом обслуживании внутриквартирного газового оборудования в многоквартирном доме или договором о техническом обслуживании внутридомового газового оборудования в жилом доме (домовладении) гражданско-правовую ответственность: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за нарушение настоящих Правил, следствием которого стала авария, несчастный случай, а также причинение вреда жизни и здоровью людей и окружающей среде;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за невнесение, несвоевременное внесение или внесение в неполном объеме платы за выполненные работы (оказанные услуги) по договору;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за вред, причиненный жизни, здоровью сотрудников исполнителя и его имуществу, жизни, здоровью и имуществу иных заказчиков, других физических и юридических лиц вследствие ненадлежащего использования и содержания внутридомового или внутриквартирного газового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75. Заказчики, несвоевременно и (или) в неполном размере внесшие плату по договору о техническом обслуживании и ремонте внутридомового газового оборудования в многоквартирном доме, договору о техническом обслуживании внутриквартирного газового оборудования в многоквартирном доме или договору о техническом обслуживании внутридомового газового оборудования в жилом доме (домовладении) за выполненные работы (оказанные услуги) по техническому обслуживанию и ремонту внутридомового газового оборудования в многоквартирном доме,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обязаны уплатить исполнителю пени в размере одной трехсотой ключевой ставки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и заканчивая днем фактической оплаты задолженности включительно. Увеличение указанного размера пени не допускается.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76. Вред, причиненный заказчиком жизни, здоровью и имуществу исполнителя или иных заказчиков вследствие ненадлежащего использования и содержания внутридомового и внутриквартирного газового оборудования, подлежит возмещению заказчиком по правилам, предусмотренным главой 59 Гражданского кодекса Российской Федерации. </w:t>
      </w:r>
    </w:p>
    <w:p>
      <w:pPr>
        <w:pStyle w:val="BodyText"/>
        <w:spacing w:lineRule="atLeast" w:line="285"/>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  </w:t>
      </w:r>
    </w:p>
    <w:p>
      <w:pPr>
        <w:pStyle w:val="BodyText"/>
        <w:jc w:val="center"/>
        <w:rPr>
          <w:rFonts w:ascii="Times New Roman" w:hAnsi="Times New Roman" w:cs="Times New Roman"/>
          <w:sz w:val="32"/>
          <w:szCs w:val="32"/>
        </w:rPr>
      </w:pPr>
      <w:r>
        <w:rPr>
          <w:rFonts w:eastAsia="Times New Roman" w:cs="Times New Roman" w:ascii="Times New Roman" w:hAnsi="Times New Roman"/>
          <w:b/>
          <w:sz w:val="32"/>
          <w:szCs w:val="32"/>
        </w:rPr>
        <w:t>VIII. Порядок и условия приостановления подачи газа</w:t>
      </w:r>
      <w:r>
        <w:rPr>
          <w:rFonts w:eastAsia="Times New Roman" w:cs="Times New Roman" w:ascii="Times New Roman" w:hAnsi="Times New Roman"/>
          <w:sz w:val="32"/>
          <w:szCs w:val="32"/>
        </w:rPr>
        <w:t xml:space="preserve"> </w:t>
      </w:r>
    </w:p>
    <w:p>
      <w:pPr>
        <w:pStyle w:val="BodyText"/>
        <w:spacing w:lineRule="atLeast" w:line="285"/>
        <w:ind w:firstLine="540"/>
        <w:jc w:val="both"/>
        <w:rPr/>
      </w:pPr>
      <w:r>
        <w:rPr/>
        <w:t xml:space="preserve">  </w:t>
      </w:r>
    </w:p>
    <w:p>
      <w:pPr>
        <w:pStyle w:val="BodyText"/>
        <w:spacing w:lineRule="atLeast" w:line="285"/>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77. В случае поступления исполнителю информации о наличии угрозы возникновения аварии, утечек газа или несчастного случая, в том числе получения такой информации в ходе выполнения работ (оказания услуг) по техническому обслуживанию и ремонту внутридомового и (или) внутриквартирного газового оборудования, исполнитель (специализированная организация) обязан незамедлительно осуществить приостановление подачи газа без предварительного уведомления об этом заказчика. О наличии указанной угрозы свидетельствуют следующие факторы: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величина разрежения в дымовом канале, присоединенном к газоиспользующему оборудованию, менее нормативной, что подтверждается актом обследования, указанным в пункте 12(1) настоящих Правил, и (или) неоднократное прекращение подачи газа на газоиспользующее оборудование по причине срабатывания автоматических устройств, контролирующих состояние отсутствия (обратной тяги);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величина воздухообмена в помещении с установленным газоиспользующим оборудованием при закрытых окнах и дверях менее нормативной (проектной) величины, приведенной к погодным условиям на момент определения, что подтверждается актом обследования, указанным в пункте 12(1)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неисправность или вмешательство в работу, в том числе демонтаж, предусмотренных изготовителем в конструкции газоиспользующего оборудования и технической документацией внутридомового или внутриквартирного газового оборудования устройств, позволяющих автоматически отключить подачу газа при отклонении контролируемых параметров за допустимые пределы (если такое вмешательство повлекло нарушение функционирования указанных устройств) при невозможности незамедлительного устранения такой неисправности;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г) использование внутридомового и (или) внутриквартирного газового оборудования при наличии неустранимой в процессе технического обслуживания утечки газа;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 пользование неисправным, разукомплектованным и не подлежащим ремонту внутридомовым или внутриквартирным газовым оборудованием;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е) самовольное (несанкционированное) подключение, то есть осуществление без привлечения исполнителя (специализированной организации) и (или) без соблюдения требований, установленных законодательством Российской Федерации, следующих действий: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установка, замена и (или) подключение газоиспользующего оборудования к сети газопотребления;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совершение действий по монтажу газопроводов сети газопотребления и их технологическому присоединению к газопроводу сети газораспределения или иному источнику газа, а также по подключению газоиспользующего оборудования к газопроводу или резервуарной, групповой или индивидуальной баллонной установке сжиженных углеводородных газов без соблюдения требований, установленных законодательством Российской Федерации;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переустройство помещения в части системы инженерно-технического обеспечения, предназначенной для выполнения функций газоснабжения и (или) функций вентиляции и (или) дымоотведения, осуществленное с нарушением главы 4 Жилищного кодекса Российской Федерации;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ж) невыполнение в установленные сроки вынесенных органами государственного жилищного надзора (контроля) предписаний об устранении нарушений при использовании и содержании внутридомового или внутриквартирного газового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з) принятие специализированной организацией решения о невозможности дальнейшей эксплуатации газоиспользующего оборудования в связи с выявлением неисправности по результатам оценки его технического состояния;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и) истечение у гибкой газовой подводки, входящей в состав внутридомового или внутриквартирного газового оборудования, срока эксплуатации, установленного изготовителем;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к) отказ заказчика и (или) собственника помещения в многоквартирном доме, собственника (пользователя) в жилом доме (домовладении) в допуске или необеспечение указанными лицами допуска специализированной организации для проведения работ по техническому обслуживанию внутридомового и (или) внутриквартирного газового оборудования (при условии соблюдения положений, предусмотренных пунктами 46 - 46(2) настоящих Правил), подтвержденные актом об отказе в допуске к газовому оборудованию, составленным в соответствии с пунктом 53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л) отрицательный результат опрессовки газопроводов, входящих в состав внутридомового и внутриквартирного газового оборудования многоквартирного дома.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78. Исполнитель имеет право приостановить подачу газа без предварительного уведомления заказчика в следующих случаях: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совершение действий по монтажу газопроводов сетей газопотребления и их технологическому присоединению к газопроводу сети газораспределения или иному источнику газа, а также по подключению газоиспользующего оборудования к газопроводу или резервуарной, групповой или индивидуальной баллонной установке сжиженных углеводородных газов без соблюдения требований, установленных законодательством Российской Федерации (самовольная газификация);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невыполнение в установленные сроки вынесенных органами жилищного надзора (контроля) предписаний об устранении нарушений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проведенное с нарушением законодательства Российской Федерации переустройство внутридомового и (или) внутриквартирного газового оборудования, ведущее к нарушению безопасной работы этого оборудования, дымовых и вентиляционных каналов многоквартирного дома или домовладения.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79. При наличии факторов, предусмотренных пунктом 77 настоящих Правил, и выявлении случаев, предусмотренных подпунктами "а" и "в" пункта 78 настоящих Правил, исполнитель направляет органу жилищного надзора (контроля) уведомление, которое является основанием для вынесения заказчику предписания об устранении выявленных нарушений с указанием сроков, в которые эти нарушения должны быть устранены.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До вынесения указанного предписания орган жилищного надзора (контроля) вправе провести проверку фактов, указанных исполнителем в уведомлении.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80. Исполнитель вправе приостановить подачу газа с предварительным письменным уведомлением заказчика в следующих случаях: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отказ заказчика 2 и более раза в допуске специализированной организации для проведения работ по техническому обслуживанию внутридомового и (или) внутриквартирного газового оборудования (при условии соблюдения положений, предусмотренных пунктами 48 - 53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отсутствие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истечение у внутридомового и (или) внутриквартирного газового оборудования (отдельного оборудования, входящего в состав внутридомового и (или) внутриквартирного газового оборудования) нормативного срока службы, установленного изготовителем, и отсутствие положительного заключения по результатам технического диагностирования указанного оборудования, а в случае продления этого срока по результатам диагностирования - истечение продленного срока службы указанного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81. До приостановления подачи газа в соответствии с пунктом 80 настоящих Правил исполнитель обязан направить заказчику 2 уведомления о предстоящем приостановлении подачи газа и его причинах. Приостановление подачи газа осуществляется не ранее чем через 40 дней после направления 1-го уведомления и не ранее чем через 20 дней после направления 2-го уведомления.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82. Приостановление подачи газа при наличии факторов (оснований), предусмотренных пунктом 77 настоящих Правил, осуществляется исходя из принципа приоритета безопасности жизни и здоровья собственников (пользователей) жилых и нежилых помещений многоквартирного дома и домовладения и минимизации ущерба жизни, здоровью и имуществу физических и юридических лиц.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При отсутствии технической возможности приостановления подачи газа на внутридомовое и (или) внутриквартирное газовое оборудование, расположенное в помещениях многоквартирного дома, по основаниям, предусмотренным пунктом 77 настоящих Правил, без одновременного приостановления подачи газа на внутридомовое и (или) внутриквартирное газовое оборудование, расположенное в других помещениях в таком доме и (или) иных многоквартирных домах, исполнитель осуществляет приостановление подачи газа на газовое оборудование, расположенное во всех указанных помещениях и (или) многоквартирных домах с соблюдением принципа, указанного в абзаце первом настоящего пункта.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82(1). На период приостановления подачи газа по основаниям, предусмотренным законодательством Российской Федерации, приостанавливается исполнение обязательств по договору о техническом обслуживании и ремонте внутридомового газового оборудования в многоквартирном доме, договору о техническом обслуживании внутриквартирного газового оборудования в многоквартирном доме, договору о техническом обслуживании внутридомового газового оборудования в жилом доме (домовладении) в части технического обслуживания временно не эксплуатируемого газового оборудования, при этом заключение дополнительного соглашения к договору о техническом обслуживании и ремонте внутридомового газового оборудования в многоквартирном доме, дополнительного соглашения к договору о техническом обслуживании внутриквартирного газового оборудования в многоквартирном доме, дополнительного соглашения к договору о техническом обслуживании внутридомового газового оборудования в жилом доме (домовладении) не требуется.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83. В течение одного рабочего дня со дня выполнения технологических операций по приостановлению подачи газа при наличии факторов, предусмотренных пунктом 77 настоящих Правил, и в случаях, указанных в пунктах 78 и 80 настоящих Правил, а также возобновления подачи газа после устранения причин, послуживших основанием для ее приостановления, исполнитель (специализированная организация) уведомляет в письменной форме поставщика газа о дате и причинах приостановления (возобновления) подачи газа.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84. Устранение причин, послуживших основанием для приостановления подачи газа, обеспечивается заказчиком, который после устранения таких причин обязан проинформировать об этом исполнителя.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Исполнитель не позднее одних суток со дня получения от заказчика информации об устранении причин, послуживших основанием для приостановления подачи газа, проводит проверку соответствия этой информации фактическим обстоятельствам и при подтверждении информации заказчика возобновляет подачу газа в срок, не превышающий 2 дней со дня проведения указанной проверки, но не ранее выполнения заказчиком положений, предусмотренных пунктом 86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85. Расходы исполнителя (специализированной организации), понесенные в связи с проведением работ по приостановлению и возобновлению подачи газа, оплачиваются заказчиком.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86. В случае если приостановление подачи газа заказчику не привело к невозможности потребления газа лицами, действия (бездействия) которых не связаны с возникновением оснований приостановления подачи газа, предусмотренных пунктами 77, 78 и 80 настоящих Правил, возобновление подачи газа этому заказчику производится только после оплаты им работ, указанных в пункте 85 настоящих Правил.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87. Приостановление и возобновление подачи газа оформляются соответствующим актом, который составляется в 2 экземплярах (по одному для заказчика и исполнителя) и подписывается сотрудниками исполнителя, непосредственно проводившими работы, и заказчиком (его уполномоченным представителем). Акт должен содержать следующую информацию: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а) дата, время и место составления акта;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б) наименование исполнителя;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в) наименование заказчика - юридического лица (фамилия, имя, отчество заказчика - физического лица);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г) основания приостановления (возобновления) подачи газа;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 перечень выполненных работ соответственно по приостановлению или возобновлению подачи газа;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е) дата и время выполнения работ соответственно по приостановлению или возобновлению подачи газа;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ж) подписи исполнителя (специализированной организации), заказчика (представителя заказчика).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88. В случае отказа заказчика от подписания акта, указанного в пункте 87 настоящих Правил, об этом делается отметка в акте с указанием причины отказа (если таковые были заявлены). Заказчик вправе изложить в акте особое мнение, касающееся наличия (отсутствия) оснований приостановления (возобновления) подачи газа, или приобщить к акту свои возражения в письменной форме, о чем делается запись в акте. Второй экземпляр акта вручается заказчику (его представителю), в случае его отказа принять акт - направляется по почте с уведомлением о вручении и описью вложения.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88(1). Работы по приостановлению и возобновлению подачи газа на внутридомовом и (или) внутриквартирном газовом оборудовании, в том числе связанные с отключением и подключением бытового газоиспользующего оборудования, а также работы по приостановлению и возобновлению подачи газа, устранению утечек газа на распределительных газопроводах проводятся специализированной организацией, осуществляющей техническое обслуживание и ремонт внутридомового газового оборудования в многоквартирном доме, техническое обслуживание внутриквартирного газового оборудования в многоквартирном доме или внутридомового газового оборудования в жилом доме (домовладении).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89. Органы государственного жилищного надзора (контроля) осуществляют контроль за соблюдением требований настоящих Правил, а также за своевременностью и качеством выполнения работ (оказания услуг) по техническому обслуживанию и ремонту внутридомового и внутриквартирного газового оборудования, по проверке состояния и функционирования дымовых и вентиляционных каналов в многоквартирных домах и в жилом доме (домовладении), в которых предоставляется коммунальная услуга по газоснабжению.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90. Методологическое обеспечение деятельности по контролю за техническим обслуживанием и состоянием внутридомового и внутриквартирного газового оборудования, за проверкой состояния и функционирования дымовых и вентиляционных каналов в многоквартирных домах и в жилом доме (домовладении), в которых предоставляется коммунальная услуга по газоснабжению, осуществляется органом жилищного надзора (контроля). </w:t>
      </w:r>
    </w:p>
    <w:p>
      <w:pPr>
        <w:pStyle w:val="BodyText"/>
        <w:spacing w:lineRule="atLeast" w:line="285"/>
        <w:ind w:firstLine="540"/>
        <w:jc w:val="both"/>
        <w:rPr>
          <w:rFonts w:ascii="Times New Roman" w:hAnsi="Times New Roman" w:cs="Times New Roman"/>
          <w:sz w:val="28"/>
          <w:szCs w:val="28"/>
        </w:rPr>
      </w:pPr>
      <w:r>
        <w:rPr>
          <w:rFonts w:cs="Times New Roman" w:ascii="Times New Roman" w:hAnsi="Times New Roman"/>
          <w:sz w:val="28"/>
          <w:szCs w:val="28"/>
        </w:rPr>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IX. Требования к лицам, осуществляющим деятельность</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по техническому обслуживанию, ремонту, установке</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и (или) замене внутридомового и (или) внутриквартирного</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газового оборудования, а также работы по техническому</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диагностированию газопроводов, входящих в состав</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внутридомового и (или) внутриквартирного</w:t>
      </w:r>
      <w:r>
        <w:rPr>
          <w:rFonts w:eastAsia="Times New Roman" w:cs="Times New Roman" w:ascii="Times New Roman" w:hAnsi="Times New Roman"/>
          <w:sz w:val="32"/>
          <w:szCs w:val="32"/>
        </w:rPr>
        <w:t xml:space="preserve"> </w:t>
      </w:r>
    </w:p>
    <w:p>
      <w:pPr>
        <w:pStyle w:val="BodyText"/>
        <w:spacing w:before="0" w:after="0"/>
        <w:jc w:val="center"/>
        <w:rPr>
          <w:rFonts w:ascii="Times New Roman" w:hAnsi="Times New Roman" w:cs="Times New Roman"/>
          <w:sz w:val="32"/>
          <w:szCs w:val="32"/>
        </w:rPr>
      </w:pPr>
      <w:r>
        <w:rPr>
          <w:rFonts w:eastAsia="Times New Roman" w:cs="Times New Roman" w:ascii="Times New Roman" w:hAnsi="Times New Roman"/>
          <w:b/>
          <w:sz w:val="32"/>
          <w:szCs w:val="32"/>
        </w:rPr>
        <w:t>газового оборудования</w:t>
      </w:r>
      <w:r>
        <w:rPr>
          <w:rFonts w:eastAsia="Times New Roman" w:cs="Times New Roman" w:ascii="Times New Roman" w:hAnsi="Times New Roman"/>
          <w:sz w:val="32"/>
          <w:szCs w:val="32"/>
        </w:rPr>
        <w:t xml:space="preserve"> </w:t>
      </w:r>
    </w:p>
    <w:p>
      <w:pPr>
        <w:pStyle w:val="BodyText"/>
        <w:spacing w:lineRule="atLeast" w:line="285"/>
        <w:jc w:val="both"/>
        <w:rPr/>
      </w:pPr>
      <w:r>
        <w:rPr/>
        <w:t xml:space="preserve">  </w:t>
      </w:r>
    </w:p>
    <w:p>
      <w:pPr>
        <w:pStyle w:val="BodyText"/>
        <w:spacing w:lineRule="atLeast" w:line="285"/>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91. Специализированные организации и (или) привлекаемые ими иные организации, осуществляющие работы по ремонту внутриквартирного газового оборудования и (или) внутридомового газового оборудования в жилом доме (домовладении), не предусмотренные приложением к настоящим Правилам, а также организации, осуществляющие работы по техническому диагностированию газопроводов, входящих в состав внутридомового и (или) внутриквартирного газового оборудования, должны отвечать требованиям настоящего раздела и иметь в своем составе для проведения таких работ (оказания таких услуг) штат квалифицированных сотрудников в количестве, обеспечивающем надлежащее исполнение таких работ (оказание таких услуг), имеющих профильное образование, прошедших необходимое для проведения газоопасных работ обучение и аттестацию по итогам обучения (далее - аттестованные сотрудники).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91(1). Привлекаемые иные организации, осуществляющие работы по ремонту внутриквартирного газового оборудования и (или) внутридомового газового оборудования в жилом доме (домовладении), не предусмотренные приложением к настоящим Правилам, осуществляют взаимодействие с исполнителем (специализированной организацией) на основании заключенного договора в соответствии с гражданским законодательством.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Для выполнения работ иными организациями по ремонту внутриквартирного газового оборудования и (или) внутридомового газового оборудования в жилом доме (домовладении), не предусмотренных приложением к настоящим Правилам, в заключаемом договоре о взаимодействии со специализированной организацией требуется указывать соответствующее положение, касающееся направления уведомлений иными организациями о проведенных работах и перечне проведенных работ по ремонту внутриквартирного газового оборудования и (или) внутридомового газового оборудования в жилом доме (домовладении) в адрес исполнителя (специализированной организации).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Уведомление о проведенных иными организациями, указанными в абзаце первом настоящего пункта, работах по ремонту внутриквартирного газового оборудования и (или) внутридомового газового оборудования в жилом доме (домовладении), не предусмотренных приложением к настоящим Правилам, должно доставляться способом, определенным в заключенном договоре со специализированной организацией, в срок не более 3 дней со дня проведения соответствующих работ.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92. Для аттестованных сотрудников руководителем организации, указанной в пункте 31 настоящих Правил, должны быть разработаны и утверждены следующие документы: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должностные инструкции, устанавливающие обязанности, права и ответственность аттестованных сотрудников;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производственные инструкции, устанавливающие последовательность выполнения технологических операций при производстве работ и условия обеспечения их безопасного проведения.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93. Аттестованные сотрудники должны проходить переаттестацию по вопросам выполнения газоопасных работ не реже одного раза в 5 лет в объеме, соответствующем должностным обязанностям.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Переаттестации сотрудников по вопросам выполнения газоопасных работ при проведении технического обслуживания, ремонта внутридомового и (или) внутриквартирного газового оборудования, технического диагностирования газопроводов, входящих в состав внутридомового и (или) внутриквартирного газового оборудования, должна предшествовать их подготовка по учебным программам, разработанным с учетом типовых программ, утверждаемых руководителями образовательных учреждений, имеющих лицензию на право ведения образовательной деятельности.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94. Перед допуском к осуществлению самостоятельной деятельности по техническому обслуживанию и ремонту внутридомового и (или) внутриквартирного газового оборудования, а также техническому диагностированию газопроводов, входящих в состав внутридомового и (или) внутриквартирного газового оборудования, на объекте аттестованный сотрудник специализированной организации, а также иной организации, осуществляющей работы по техническому диагностированию газопроводов, входящих в состав внутридомового и (или) внутриквартирного газового оборудования, должен пройти инструктаж по технике безопасности и стажировку на рабочем месте в соответствии с установленным соответствующей организацией регламентом.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95. Специализированные организации, организации, осуществляющие работы по техническому диагностированию газопроводов, входящих в состав внутридомового и (или) внутриквартирного газового оборудования, должны быть оснащены средствами контроля и измерений, контрольно-измерительным оборудованием, прошедшим метрологический контроль, сертифицированными материалами, комплектующими изделиями, инструментом, приспособлениями, обеспечивающими возможность выполнения соответствующих работ (оказания соответствующих услуг). Все средства измерений (измерительные приборы, стандартные образцы и тому подобное), методики (методы) измерений должны быть соответственно калиброваны и аттестованы в установленном порядке.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96. Специализированные организации и привлекаемые ими иные организации для выполнения работ по ремонту внутриквартирного газового оборудования и (или) внутридомового газового оборудования в жилом доме (домовладении), не предусмотренных приложением к настоящим Правилам, а также организации, осуществляющие работы по техническому диагностированию газопроводов, входящих в состав внутридомового и (или) внутриквартирного газового оборудования, должны иметь программы технического обслуживания и проверки технического состояния используемого оборудования и средств испытаний, а также график поверки средств измерений, которые утверждаются техническим руководителем соответствующей организации.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97. Организация, намеренная осуществлять деятельность по техническому обслуживанию, ремонту внутридомового и (или) внутриквартирного газового оборудования, направляет в уполномоченный орган государственного контроля (надзора) уведомление о начале осуществления деятельности по техническому обслуживанию, ремонту внутридомового и (или) внутриквартирного газового оборудования в соответствии с пунктом 40 части 2 статьи 8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pPr>
        <w:pStyle w:val="BodyText"/>
        <w:spacing w:lineRule="atLeast" w:line="285"/>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  </w:t>
      </w:r>
    </w:p>
    <w:p>
      <w:pPr>
        <w:pStyle w:val="BodyText"/>
        <w:spacing w:lineRule="atLeast" w:line="285"/>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  </w:t>
      </w:r>
    </w:p>
    <w:p>
      <w:pPr>
        <w:pStyle w:val="BodyText"/>
        <w:spacing w:lineRule="atLeast" w:line="285"/>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  </w:t>
      </w:r>
    </w:p>
    <w:p>
      <w:pPr>
        <w:pStyle w:val="BodyText"/>
        <w:spacing w:lineRule="atLeast" w:line="285"/>
        <w:ind w:firstLine="540"/>
        <w:jc w:val="both"/>
        <w:rPr/>
      </w:pPr>
      <w:r>
        <w:rPr/>
        <w:t xml:space="preserve">  </w:t>
      </w:r>
    </w:p>
    <w:p>
      <w:pPr>
        <w:pStyle w:val="BodyText"/>
        <w:spacing w:lineRule="atLeast" w:line="285"/>
        <w:ind w:firstLine="540"/>
        <w:jc w:val="both"/>
        <w:rPr/>
      </w:pPr>
      <w:r>
        <w:rPr/>
        <w:t xml:space="preserve">  </w:t>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ind w:firstLine="540"/>
        <w:jc w:val="both"/>
        <w:rPr/>
      </w:pPr>
      <w:r>
        <w:rPr/>
      </w:r>
    </w:p>
    <w:p>
      <w:pPr>
        <w:pStyle w:val="BodyText"/>
        <w:spacing w:lineRule="atLeast" w:line="285"/>
        <w:jc w:val="right"/>
        <w:rPr>
          <w:rFonts w:ascii="Times New Roman" w:hAnsi="Times New Roman" w:cs="Times New Roman"/>
        </w:rPr>
      </w:pPr>
      <w:r>
        <w:rPr>
          <w:rFonts w:eastAsia="Times New Roman" w:cs="Times New Roman" w:ascii="Times New Roman" w:hAnsi="Times New Roman"/>
        </w:rPr>
        <w:t xml:space="preserve">Приложение </w:t>
      </w:r>
    </w:p>
    <w:p>
      <w:pPr>
        <w:pStyle w:val="BodyText"/>
        <w:spacing w:lineRule="atLeast" w:line="285"/>
        <w:jc w:val="right"/>
        <w:rPr>
          <w:rFonts w:ascii="Times New Roman" w:hAnsi="Times New Roman" w:cs="Times New Roman"/>
        </w:rPr>
      </w:pPr>
      <w:r>
        <w:rPr>
          <w:rFonts w:eastAsia="Times New Roman" w:cs="Times New Roman" w:ascii="Times New Roman" w:hAnsi="Times New Roman"/>
        </w:rPr>
        <w:t xml:space="preserve">к Правилам пользования газом </w:t>
      </w:r>
    </w:p>
    <w:p>
      <w:pPr>
        <w:pStyle w:val="BodyText"/>
        <w:spacing w:lineRule="atLeast" w:line="285"/>
        <w:jc w:val="right"/>
        <w:rPr>
          <w:rFonts w:ascii="Times New Roman" w:hAnsi="Times New Roman" w:cs="Times New Roman"/>
        </w:rPr>
      </w:pPr>
      <w:r>
        <w:rPr>
          <w:rFonts w:eastAsia="Times New Roman" w:cs="Times New Roman" w:ascii="Times New Roman" w:hAnsi="Times New Roman"/>
        </w:rPr>
        <w:t xml:space="preserve">в части обеспечения безопасности </w:t>
      </w:r>
    </w:p>
    <w:p>
      <w:pPr>
        <w:pStyle w:val="BodyText"/>
        <w:spacing w:lineRule="atLeast" w:line="285"/>
        <w:jc w:val="right"/>
        <w:rPr>
          <w:rFonts w:ascii="Times New Roman" w:hAnsi="Times New Roman" w:cs="Times New Roman"/>
        </w:rPr>
      </w:pPr>
      <w:r>
        <w:rPr>
          <w:rFonts w:eastAsia="Times New Roman" w:cs="Times New Roman" w:ascii="Times New Roman" w:hAnsi="Times New Roman"/>
        </w:rPr>
        <w:t xml:space="preserve">при использовании и содержании </w:t>
      </w:r>
    </w:p>
    <w:p>
      <w:pPr>
        <w:pStyle w:val="BodyText"/>
        <w:spacing w:lineRule="atLeast" w:line="285"/>
        <w:jc w:val="right"/>
        <w:rPr>
          <w:rFonts w:ascii="Times New Roman" w:hAnsi="Times New Roman" w:cs="Times New Roman"/>
        </w:rPr>
      </w:pPr>
      <w:r>
        <w:rPr>
          <w:rFonts w:eastAsia="Times New Roman" w:cs="Times New Roman" w:ascii="Times New Roman" w:hAnsi="Times New Roman"/>
        </w:rPr>
        <w:t xml:space="preserve">внутридомового и внутриквартирного </w:t>
      </w:r>
    </w:p>
    <w:p>
      <w:pPr>
        <w:pStyle w:val="BodyText"/>
        <w:spacing w:lineRule="atLeast" w:line="285"/>
        <w:jc w:val="right"/>
        <w:rPr>
          <w:rFonts w:ascii="Times New Roman" w:hAnsi="Times New Roman" w:cs="Times New Roman"/>
        </w:rPr>
      </w:pPr>
      <w:r>
        <w:rPr>
          <w:rFonts w:eastAsia="Times New Roman" w:cs="Times New Roman" w:ascii="Times New Roman" w:hAnsi="Times New Roman"/>
        </w:rPr>
        <w:t xml:space="preserve">газового оборудования </w:t>
      </w:r>
    </w:p>
    <w:p>
      <w:pPr>
        <w:pStyle w:val="BodyText"/>
        <w:spacing w:lineRule="atLeast" w:line="285"/>
        <w:jc w:val="right"/>
        <w:rPr>
          <w:rFonts w:ascii="Times New Roman" w:hAnsi="Times New Roman" w:cs="Times New Roman"/>
        </w:rPr>
      </w:pPr>
      <w:r>
        <w:rPr>
          <w:rFonts w:eastAsia="Times New Roman" w:cs="Times New Roman" w:ascii="Times New Roman" w:hAnsi="Times New Roman"/>
        </w:rPr>
        <w:t xml:space="preserve">при предоставлении коммунальной </w:t>
      </w:r>
    </w:p>
    <w:p>
      <w:pPr>
        <w:pStyle w:val="BodyText"/>
        <w:spacing w:lineRule="atLeast" w:line="285"/>
        <w:jc w:val="right"/>
        <w:rPr/>
      </w:pPr>
      <w:r>
        <w:rPr>
          <w:rFonts w:eastAsia="Times New Roman" w:cs="Times New Roman" w:ascii="Times New Roman" w:hAnsi="Times New Roman"/>
        </w:rPr>
        <w:t xml:space="preserve">услуги по газоснабжению </w:t>
      </w:r>
    </w:p>
    <w:p>
      <w:pPr>
        <w:pStyle w:val="BodyText"/>
        <w:spacing w:lineRule="atLeast" w:line="285"/>
        <w:jc w:val="right"/>
        <w:rPr/>
      </w:pPr>
      <w:r>
        <w:rPr/>
      </w:r>
    </w:p>
    <w:p>
      <w:pPr>
        <w:pStyle w:val="BodyText"/>
        <w:spacing w:lineRule="atLeast" w:line="285"/>
        <w:jc w:val="right"/>
        <w:rPr/>
      </w:pPr>
      <w:r>
        <w:rPr/>
      </w:r>
    </w:p>
    <w:p>
      <w:pPr>
        <w:pStyle w:val="BodyText"/>
        <w:spacing w:lineRule="atLeast" w:line="285"/>
        <w:jc w:val="right"/>
        <w:rPr/>
      </w:pPr>
      <w:r>
        <w:rPr/>
        <w:t xml:space="preserve">  </w:t>
      </w:r>
    </w:p>
    <w:p>
      <w:pPr>
        <w:pStyle w:val="BodyText"/>
        <w:spacing w:lineRule="auto" w:line="312" w:before="0" w:after="0"/>
        <w:jc w:val="center"/>
        <w:rPr>
          <w:rFonts w:ascii="Times New Roman" w:hAnsi="Times New Roman" w:cs="Times New Roman"/>
          <w:b/>
          <w:sz w:val="32"/>
          <w:szCs w:val="32"/>
        </w:rPr>
      </w:pPr>
      <w:bookmarkStart w:id="0" w:name="_GoBack"/>
      <w:r>
        <w:rPr>
          <w:rFonts w:eastAsia="Times New Roman" w:cs="Times New Roman" w:ascii="Times New Roman" w:hAnsi="Times New Roman"/>
          <w:b/>
          <w:sz w:val="32"/>
          <w:szCs w:val="32"/>
        </w:rPr>
        <w:t xml:space="preserve">МИНИМАЛЬНЫЙ ПЕРЕЧЕНЬ </w:t>
      </w:r>
    </w:p>
    <w:p>
      <w:pPr>
        <w:pStyle w:val="BodyText"/>
        <w:spacing w:lineRule="auto" w:line="312" w:before="0" w:after="0"/>
        <w:jc w:val="center"/>
        <w:rPr>
          <w:rFonts w:ascii="Times New Roman" w:hAnsi="Times New Roman" w:cs="Times New Roman"/>
          <w:b/>
          <w:sz w:val="32"/>
          <w:szCs w:val="32"/>
        </w:rPr>
      </w:pPr>
      <w:r>
        <w:rPr>
          <w:rFonts w:eastAsia="Times New Roman" w:cs="Times New Roman" w:ascii="Times New Roman" w:hAnsi="Times New Roman"/>
          <w:b/>
          <w:sz w:val="32"/>
          <w:szCs w:val="32"/>
        </w:rPr>
        <w:t xml:space="preserve">УСЛУГ (РАБОТ) ПО ТЕХНИЧЕСКОМУ ОБСЛУЖИВАНИЮ И РЕМОНТУ </w:t>
      </w:r>
    </w:p>
    <w:p>
      <w:pPr>
        <w:pStyle w:val="BodyText"/>
        <w:spacing w:lineRule="auto" w:line="312" w:before="0" w:after="0"/>
        <w:jc w:val="center"/>
        <w:rPr>
          <w:rFonts w:ascii="Times New Roman" w:hAnsi="Times New Roman" w:cs="Times New Roman"/>
          <w:b/>
          <w:sz w:val="32"/>
          <w:szCs w:val="32"/>
        </w:rPr>
      </w:pPr>
      <w:r>
        <w:rPr>
          <w:rFonts w:eastAsia="Times New Roman" w:cs="Times New Roman" w:ascii="Times New Roman" w:hAnsi="Times New Roman"/>
          <w:b/>
          <w:sz w:val="32"/>
          <w:szCs w:val="32"/>
        </w:rPr>
        <w:t xml:space="preserve">ВНУТРИДОМОВОГО ГАЗОВОГО ОБОРУДОВАНИЯ В МНОГОКВАРТИРНОМ ДОМЕ, </w:t>
      </w:r>
    </w:p>
    <w:p>
      <w:pPr>
        <w:pStyle w:val="BodyText"/>
        <w:spacing w:lineRule="auto" w:line="312" w:before="0" w:after="0"/>
        <w:jc w:val="center"/>
        <w:rPr>
          <w:rFonts w:ascii="Times New Roman" w:hAnsi="Times New Roman" w:cs="Times New Roman"/>
          <w:b/>
          <w:sz w:val="32"/>
          <w:szCs w:val="32"/>
        </w:rPr>
      </w:pPr>
      <w:r>
        <w:rPr>
          <w:rFonts w:eastAsia="Times New Roman" w:cs="Times New Roman" w:ascii="Times New Roman" w:hAnsi="Times New Roman"/>
          <w:b/>
          <w:sz w:val="32"/>
          <w:szCs w:val="32"/>
        </w:rPr>
        <w:t xml:space="preserve">ВНУТРИКВАРТИРНОГО ГАЗОВОГО ОБОРУДОВАНИЯ В МНОГОКВАРТИРНОМ </w:t>
      </w:r>
    </w:p>
    <w:p>
      <w:pPr>
        <w:pStyle w:val="BodyText"/>
        <w:spacing w:lineRule="auto" w:line="312" w:before="0" w:after="0"/>
        <w:jc w:val="center"/>
        <w:rPr>
          <w:rFonts w:ascii="Times New Roman" w:hAnsi="Times New Roman" w:cs="Times New Roman"/>
          <w:b/>
          <w:sz w:val="32"/>
          <w:szCs w:val="32"/>
        </w:rPr>
      </w:pPr>
      <w:bookmarkStart w:id="1" w:name="_GoBack"/>
      <w:r>
        <w:rPr>
          <w:rFonts w:eastAsia="Times New Roman" w:cs="Times New Roman" w:ascii="Times New Roman" w:hAnsi="Times New Roman"/>
          <w:b/>
          <w:sz w:val="32"/>
          <w:szCs w:val="32"/>
        </w:rPr>
        <w:t xml:space="preserve">ДОМЕ И ВНУТРИДОМОВОГО ГАЗОВОГО ОБОРУДОВАНИЯ В ЖИЛОМ ДОМЕ </w:t>
      </w:r>
      <w:bookmarkEnd w:id="1"/>
    </w:p>
    <w:p>
      <w:pPr>
        <w:pStyle w:val="BodyText"/>
        <w:spacing w:lineRule="atLeast" w:line="285" w:before="0" w:after="0"/>
        <w:rPr/>
      </w:pPr>
      <w:r>
        <w:rPr/>
        <w:t> </w:t>
      </w:r>
    </w:p>
    <w:p>
      <w:pPr>
        <w:pStyle w:val="BodyText"/>
        <w:spacing w:lineRule="atLeast" w:line="285"/>
        <w:jc w:val="both"/>
        <w:rPr/>
      </w:pPr>
      <w:r>
        <w:rPr/>
        <w:t xml:space="preserve"> </w:t>
      </w:r>
    </w:p>
    <w:p>
      <w:pPr>
        <w:pStyle w:val="BodyText"/>
        <w:spacing w:lineRule="atLeast" w:line="285"/>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 Визуальная проверка целостности внутридомового и (или) внутриквартирного газового оборудования и его соответствия нормативным требованиям.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2. Визуальная проверка наличия свободного доступа к внутридомовому и (или) внутриквартирному газовому оборудованию.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3. Визуальная проверка состояния окраски и креплений газопроводов.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4. Визуальная проверка наличия и целостности футляров, в том числе их уплотнений, в местах прокладки газопроводов через наружные и внутренние конструкции многоквартирных домов и домовладений.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5. Проверка герметичности соединений и отключающих устройств одним из следующих способов: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опрессовка;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приборный метод;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мыльная эмульсия;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пенообразующая смесь.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Принятие мер по устранению выявленной негерметичности.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6. Проверка работоспособности и смазка отключающих устройств (если это предусмотрено документацией изготовителя), установленных на газопроводах.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7. Разборка и смазка кранов бытового газоиспользующего оборудования (если это предусмотрено документацией изготовителя).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8. Проверка работоспособности устройств, позволяющих автоматически отключить подачу газа при отклонении контролируемых параметров за допустимые пределы, ее наладка и регулировка (предохранительная арматура, системы контроля загазованности, трубопроводная арматура при наличии соответствующих требований изготовителя, системы контроля загазованности, автоматика безопасности, встроенная в конструкцию газоиспользующего оборудования).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9. Регулировка процесса сжигания газа на всех режимах работы бытового газоиспользующего оборудования, очистка горелок от загрязнений.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10. Проверка наличия тяги в дымовых (при наличии) и вентиляционных каналах помещений с установленным внутридомовым и (или) внутриквартирным газовым оборудованием, состояния соединительных труб с дымовым каналом (при наличии).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11. Оценка технического состояния бытового газоиспользующего оборудования в целях выявления его неисправностей и определения возможности дальнейшей эксплуатации.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12. Проверка технического состояния электроизолирующего соединения, установленного на газопроводе (при наличии).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13. Проверка давления газа перед газоиспользующим оборудованием при всех работающих горелках и после прекращения подачи газа (при наличии в составе оборудования индивидуальной баллонной установки сжиженных углеводородных газов).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14. Замена баллонов сжиженных углеводородных газов (при наличии в составе оборудования групповых и индивидуальных баллонных установок сжиженных углеводородных газов).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15. Внешний осмотр редукционной головки, запорной и предохранительной арматуры при обслуживании индивидуальной резервуарной установки для снабжения сжиженным углеводородным газом.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16. Контроль герметичности фланцевых и резьбовых соединений, газопроводов с целью выявления утечек газа пенообразующим или приборным методом при обслуживании индивидуальной резервуарной установки для снабжения сжиженным углеводородным газом.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17. Проверка работоспособности редуктора, манометра, уровнемера, предохранительного пружинного клапана при обслуживании индивидуальной резервуарной установки для снабжения сжиженным углеводородным газом. </w:t>
      </w:r>
    </w:p>
    <w:p>
      <w:pPr>
        <w:pStyle w:val="BodyText"/>
        <w:spacing w:lineRule="atLeast" w:line="285" w:before="165" w:after="140"/>
        <w:ind w:firstLine="540"/>
        <w:jc w:val="both"/>
        <w:rPr>
          <w:rFonts w:ascii="Times New Roman" w:hAnsi="Times New Roman" w:cs="Times New Roman"/>
          <w:sz w:val="28"/>
          <w:szCs w:val="28"/>
        </w:rPr>
      </w:pPr>
      <w:r>
        <w:rPr>
          <w:rFonts w:eastAsia="Times New Roman" w:cs="Times New Roman" w:ascii="Times New Roman" w:hAnsi="Times New Roman"/>
          <w:sz w:val="28"/>
          <w:szCs w:val="28"/>
        </w:rPr>
        <w:t xml:space="preserve">18. Инструктаж потребителей газа по безопасному использованию газа при удовлетворении коммунально-бытовых нужд. </w:t>
      </w:r>
    </w:p>
    <w:p>
      <w:pPr>
        <w:pStyle w:val="BodyText"/>
        <w:spacing w:lineRule="atLeast" w:line="285"/>
        <w:jc w:val="both"/>
        <w:rPr>
          <w:rFonts w:ascii="Times New Roman" w:hAnsi="Times New Roman" w:cs="Times New Roman"/>
          <w:sz w:val="28"/>
          <w:szCs w:val="28"/>
        </w:rPr>
      </w:pPr>
      <w:r>
        <w:rPr>
          <w:rFonts w:eastAsia="Times New Roman" w:cs="Times New Roman" w:ascii="Times New Roman" w:hAnsi="Times New Roman"/>
          <w:sz w:val="28"/>
          <w:szCs w:val="28"/>
        </w:rPr>
        <w:t xml:space="preserve">  </w:t>
      </w:r>
    </w:p>
    <w:p>
      <w:pPr>
        <w:pStyle w:val="BodyText"/>
        <w:spacing w:lineRule="atLeast" w:line="285"/>
        <w:jc w:val="both"/>
        <w:rPr>
          <w:rFonts w:ascii="Times New Roman" w:hAnsi="Times New Roman" w:cs="Times New Roman"/>
          <w:sz w:val="28"/>
          <w:szCs w:val="28"/>
        </w:rPr>
      </w:pPr>
      <w:r>
        <w:rPr>
          <w:rFonts w:eastAsia="Times New Roman" w:cs="Times New Roman" w:ascii="Times New Roman" w:hAnsi="Times New Roman"/>
          <w:sz w:val="28"/>
          <w:szCs w:val="28"/>
        </w:rPr>
        <w:t xml:space="preserve">  </w:t>
      </w:r>
    </w:p>
    <w:p>
      <w:pPr>
        <w:pStyle w:val="BodyText"/>
        <w:spacing w:before="0" w:after="140"/>
        <w:jc w:val="center"/>
        <w:rPr>
          <w:rFonts w:ascii="Times New Roman" w:hAnsi="Times New Roman" w:cs="Times New Roman"/>
          <w:color w:val="0000FF"/>
          <w:sz w:val="28"/>
          <w:szCs w:val="28"/>
          <w:u w:val="single"/>
        </w:rPr>
      </w:pPr>
      <w:r>
        <w:rPr>
          <w:rFonts w:cs="Times New Roman" w:ascii="Times New Roman" w:hAnsi="Times New Roman"/>
          <w:color w:val="0000FF"/>
          <w:sz w:val="28"/>
          <w:szCs w:val="28"/>
          <w:u w:val="single"/>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850" w:gutter="0" w:header="280" w:top="850" w:footer="28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auto"/>
    <w:pitch w:val="variable"/>
  </w:font>
  <w:font w:name="Open Sans">
    <w:charset w:val="01"/>
    <w:family w:val="swiss"/>
    <w:pitch w:val="variable"/>
  </w:font>
  <w:font w:name="Open Sans">
    <w:charset w:val="01"/>
    <w:family w:val="auto"/>
    <w:pitch w:val="variable"/>
  </w:font>
  <w:font w:name="Arial">
    <w:altName w:val=" sans-serif"/>
    <w:charset w:val="01"/>
    <w:family w:val="auto"/>
    <w:pitch w:val="variable"/>
  </w:font>
  <w:font w:name="Arial">
    <w:charset w:val="01"/>
    <w:family w:val="swiss"/>
    <w:pitch w:val="variable"/>
  </w:font>
  <w:font w:name="Courier New">
    <w:charset w:val="01"/>
    <w:family w:val="auto"/>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LBOTTOM"/>
      <w:pBdr>
        <w:top w:val="single" w:sz="4" w:space="1" w:color="000000"/>
      </w:pBdr>
      <w:jc w:val="right"/>
      <w:rPr>
        <w:rFonts w:cs="Arial, sans-serif"/>
      </w:rPr>
    </w:pPr>
    <w:r>
      <w:rPr>
        <w:rFonts w:cs="Arial, sans-serif"/>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LBOTTOM"/>
      <w:pBdr>
        <w:top w:val="single" w:sz="4" w:space="1" w:color="000000"/>
      </w:pBdr>
      <w:jc w:val="right"/>
      <w:rPr>
        <w:rFonts w:cs="Arial, sans-serif"/>
      </w:rPr>
    </w:pPr>
    <w:r>
      <w:rPr>
        <w:rFonts w:cs="Arial, sans-serif"/>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LTOP"/>
      <w:rPr>
        <w:rFonts w:cs="Arial, sans-serif"/>
      </w:rPr>
    </w:pPr>
    <w:r>
      <w:rPr>
        <w:rFonts w:cs="Arial, sans-serif"/>
      </w:rPr>
      <w:t>О мерах по обеспечению безопасности при использовании и содержании внутридомового и внутриквартирного газового оборудования (с изменениями на 01 марта 2026 года)</w:t>
    </w:r>
  </w:p>
  <w:p>
    <w:pPr>
      <w:pStyle w:val="COLTOP"/>
      <w:rPr/>
    </w:pPr>
    <w:r>
      <w:rPr>
        <w:rFonts w:cs="Arial, sans-serif"/>
        <w:i/>
        <w:iCs/>
      </w:rPr>
      <w:t>Постановление Правительства РФ от 14.05.2013 N 410</w:t>
    </w:r>
  </w:p>
  <w:p>
    <w:pPr>
      <w:pStyle w:val="COLTOP"/>
      <w:pBdr>
        <w:bottom w:val="single" w:sz="4" w:space="1" w:color="000000"/>
      </w:pBdr>
      <w:jc w:val="right"/>
      <w:rPr/>
    </w:pPr>
    <w:r>
      <w:rPr/>
      <w:t xml:space="preserve">Страница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LTOP"/>
      <w:rPr>
        <w:rFonts w:cs="Arial, sans-serif"/>
      </w:rPr>
    </w:pPr>
    <w:r>
      <w:rPr>
        <w:rFonts w:cs="Arial, sans-serif"/>
      </w:rPr>
      <w:t>О мерах по обеспечению безопасности при использовании и содержании внутридомового и внутриквартирного газового оборудования (с изменениями на 01 марта 2026 года)</w:t>
    </w:r>
  </w:p>
  <w:p>
    <w:pPr>
      <w:pStyle w:val="COLTOP"/>
      <w:rPr/>
    </w:pPr>
    <w:r>
      <w:rPr>
        <w:rFonts w:cs="Arial, sans-serif"/>
        <w:i/>
        <w:iCs/>
      </w:rPr>
      <w:t>Постановление Правительства РФ от 14.05.2013 N 410</w:t>
    </w:r>
  </w:p>
  <w:p>
    <w:pPr>
      <w:pStyle w:val="COLTOP"/>
      <w:pBdr>
        <w:bottom w:val="single" w:sz="4" w:space="1" w:color="000000"/>
      </w:pBdr>
      <w:jc w:val="right"/>
      <w:rPr/>
    </w:pPr>
    <w:r>
      <w:rPr/>
      <w:t xml:space="preserve">Страница </w:t>
    </w:r>
  </w:p>
</w:hdr>
</file>

<file path=word/settings.xml><?xml version="1.0" encoding="utf-8"?>
<w:settings xmlns:w="http://schemas.openxmlformats.org/wordprocessingml/2006/main">
  <w:zoom w:percent="120"/>
  <w:defaultTabStop w:val="720"/>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Liberation Sans" w:cs="Liberation San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false"/>
      <w:bidi w:val="0"/>
      <w:spacing w:lineRule="auto" w:line="276" w:before="0" w:after="200"/>
      <w:jc w:val="left"/>
    </w:pPr>
    <w:rPr>
      <w:rFonts w:ascii="Calibri" w:hAnsi="Calibri" w:eastAsia="Liberation Sans" w:cs="Liberation Sans" w:asciiTheme="minorHAnsi" w:cstheme="minorBidi" w:eastAsiaTheme="minorEastAsia" w:hAnsiTheme="minorHAnsi"/>
      <w:color w:val="auto"/>
      <w:kern w:val="0"/>
      <w:sz w:val="22"/>
      <w:szCs w:val="22"/>
      <w:lang w:val="ru-RU" w:eastAsia="ru-RU" w:bidi="ar-SA"/>
    </w:rPr>
  </w:style>
  <w:style w:type="paragraph" w:styleId="Heading1">
    <w:name w:val="heading 1"/>
    <w:basedOn w:val="Normal"/>
    <w:next w:val="Normal"/>
    <w:link w:val="1"/>
    <w:uiPriority w:val="9"/>
    <w:qFormat/>
    <w:pPr>
      <w:keepNext w:val="true"/>
      <w:keepLines/>
      <w:spacing w:before="480" w:after="200"/>
      <w:outlineLvl w:val="0"/>
    </w:pPr>
    <w:rPr>
      <w:rFonts w:ascii="Liberation Sans" w:hAnsi="Liberation Sans" w:eastAsia="Liberation Sans" w:cs="Liberation Sans"/>
      <w:sz w:val="40"/>
      <w:szCs w:val="40"/>
    </w:rPr>
  </w:style>
  <w:style w:type="paragraph" w:styleId="Heading2">
    <w:name w:val="heading 2"/>
    <w:basedOn w:val="Normal"/>
    <w:next w:val="Normal"/>
    <w:link w:val="2"/>
    <w:uiPriority w:val="9"/>
    <w:unhideWhenUsed/>
    <w:qFormat/>
    <w:pPr>
      <w:keepNext w:val="true"/>
      <w:keepLines/>
      <w:spacing w:before="360" w:after="200"/>
      <w:outlineLvl w:val="1"/>
    </w:pPr>
    <w:rPr>
      <w:rFonts w:ascii="Liberation Sans" w:hAnsi="Liberation Sans" w:eastAsia="Liberation Sans" w:cs="Liberation Sans"/>
      <w:sz w:val="34"/>
    </w:rPr>
  </w:style>
  <w:style w:type="paragraph" w:styleId="Heading3">
    <w:name w:val="heading 3"/>
    <w:basedOn w:val="Normal"/>
    <w:next w:val="Normal"/>
    <w:link w:val="3"/>
    <w:uiPriority w:val="9"/>
    <w:unhideWhenUsed/>
    <w:qFormat/>
    <w:pPr>
      <w:keepNext w:val="true"/>
      <w:keepLines/>
      <w:spacing w:before="320" w:after="200"/>
      <w:outlineLvl w:val="2"/>
    </w:pPr>
    <w:rPr>
      <w:rFonts w:ascii="Liberation Sans" w:hAnsi="Liberation Sans" w:eastAsia="Liberation Sans" w:cs="Liberation Sans"/>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ascii="Liberation Sans" w:hAnsi="Liberation Sans" w:eastAsia="Liberation Sans" w:cs="Liberation Sans"/>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Liberation Sans" w:hAnsi="Liberation Sans" w:eastAsia="Liberation Sans" w:cs="Liberation Sans"/>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Liberation Sans" w:hAnsi="Liberation Sans" w:eastAsia="Liberation Sans" w:cs="Liberation Sans"/>
      <w:b/>
      <w:bCs/>
    </w:rPr>
  </w:style>
  <w:style w:type="paragraph" w:styleId="Heading7">
    <w:name w:val="heading 7"/>
    <w:basedOn w:val="Normal"/>
    <w:next w:val="Normal"/>
    <w:link w:val="7"/>
    <w:uiPriority w:val="9"/>
    <w:unhideWhenUsed/>
    <w:qFormat/>
    <w:pPr>
      <w:keepNext w:val="true"/>
      <w:keepLines/>
      <w:spacing w:before="320" w:after="200"/>
      <w:outlineLvl w:val="6"/>
    </w:pPr>
    <w:rPr>
      <w:rFonts w:ascii="Liberation Sans" w:hAnsi="Liberation Sans" w:eastAsia="Liberation Sans" w:cs="Liberation Sans"/>
      <w:b/>
      <w:bCs/>
      <w:i/>
      <w:iCs/>
    </w:rPr>
  </w:style>
  <w:style w:type="paragraph" w:styleId="Heading8">
    <w:name w:val="heading 8"/>
    <w:basedOn w:val="Normal"/>
    <w:next w:val="Normal"/>
    <w:link w:val="8"/>
    <w:uiPriority w:val="9"/>
    <w:unhideWhenUsed/>
    <w:qFormat/>
    <w:pPr>
      <w:keepNext w:val="true"/>
      <w:keepLines/>
      <w:spacing w:before="320" w:after="200"/>
      <w:outlineLvl w:val="7"/>
    </w:pPr>
    <w:rPr>
      <w:rFonts w:ascii="Liberation Sans" w:hAnsi="Liberation Sans" w:eastAsia="Liberation Sans" w:cs="Liberation Sans"/>
      <w:i/>
      <w:iCs/>
    </w:rPr>
  </w:style>
  <w:style w:type="paragraph" w:styleId="Heading9">
    <w:name w:val="heading 9"/>
    <w:basedOn w:val="Normal"/>
    <w:next w:val="Normal"/>
    <w:link w:val="9"/>
    <w:uiPriority w:val="9"/>
    <w:unhideWhenUsed/>
    <w:qFormat/>
    <w:pPr>
      <w:keepNext w:val="true"/>
      <w:keepLines/>
      <w:spacing w:before="320" w:after="200"/>
      <w:outlineLvl w:val="8"/>
    </w:pPr>
    <w:rPr>
      <w:rFonts w:ascii="Liberation Sans" w:hAnsi="Liberation Sans" w:eastAsia="Liberation Sans" w:cs="Liberation Sans"/>
      <w:i/>
      <w:iCs/>
      <w:sz w:val="21"/>
      <w:szCs w:val="21"/>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Liberation Sans" w:hAnsi="Liberation Sans" w:eastAsia="Liberation Sans" w:cs="Liberation Sans"/>
      <w:sz w:val="40"/>
      <w:szCs w:val="40"/>
    </w:rPr>
  </w:style>
  <w:style w:type="character" w:styleId="2" w:customStyle="1">
    <w:name w:val="Заголовок 2 Знак"/>
    <w:basedOn w:val="DefaultParagraphFont"/>
    <w:uiPriority w:val="9"/>
    <w:qFormat/>
    <w:rPr>
      <w:rFonts w:ascii="Liberation Sans" w:hAnsi="Liberation Sans" w:eastAsia="Liberation Sans" w:cs="Liberation Sans"/>
      <w:sz w:val="34"/>
    </w:rPr>
  </w:style>
  <w:style w:type="character" w:styleId="3" w:customStyle="1">
    <w:name w:val="Заголовок 3 Знак"/>
    <w:basedOn w:val="DefaultParagraphFont"/>
    <w:uiPriority w:val="9"/>
    <w:qFormat/>
    <w:rPr>
      <w:rFonts w:ascii="Liberation Sans" w:hAnsi="Liberation Sans" w:eastAsia="Liberation Sans" w:cs="Liberation Sans"/>
      <w:sz w:val="30"/>
      <w:szCs w:val="30"/>
    </w:rPr>
  </w:style>
  <w:style w:type="character" w:styleId="4" w:customStyle="1">
    <w:name w:val="Заголовок 4 Знак"/>
    <w:basedOn w:val="DefaultParagraphFont"/>
    <w:uiPriority w:val="9"/>
    <w:qFormat/>
    <w:rPr>
      <w:rFonts w:ascii="Liberation Sans" w:hAnsi="Liberation Sans" w:eastAsia="Liberation Sans" w:cs="Liberation Sans"/>
      <w:b/>
      <w:bCs/>
      <w:sz w:val="26"/>
      <w:szCs w:val="26"/>
    </w:rPr>
  </w:style>
  <w:style w:type="character" w:styleId="5" w:customStyle="1">
    <w:name w:val="Заголовок 5 Знак"/>
    <w:basedOn w:val="DefaultParagraphFont"/>
    <w:uiPriority w:val="9"/>
    <w:qFormat/>
    <w:rPr>
      <w:rFonts w:ascii="Liberation Sans" w:hAnsi="Liberation Sans" w:eastAsia="Liberation Sans" w:cs="Liberation Sans"/>
      <w:b/>
      <w:bCs/>
      <w:sz w:val="24"/>
      <w:szCs w:val="24"/>
    </w:rPr>
  </w:style>
  <w:style w:type="character" w:styleId="6" w:customStyle="1">
    <w:name w:val="Заголовок 6 Знак"/>
    <w:basedOn w:val="DefaultParagraphFont"/>
    <w:uiPriority w:val="9"/>
    <w:qFormat/>
    <w:rPr>
      <w:rFonts w:ascii="Liberation Sans" w:hAnsi="Liberation Sans" w:eastAsia="Liberation Sans" w:cs="Liberation Sans"/>
      <w:b/>
      <w:bCs/>
      <w:sz w:val="22"/>
      <w:szCs w:val="22"/>
    </w:rPr>
  </w:style>
  <w:style w:type="character" w:styleId="7" w:customStyle="1">
    <w:name w:val="Заголовок 7 Знак"/>
    <w:basedOn w:val="DefaultParagraphFont"/>
    <w:uiPriority w:val="9"/>
    <w:qFormat/>
    <w:rPr>
      <w:rFonts w:ascii="Liberation Sans" w:hAnsi="Liberation Sans" w:eastAsia="Liberation Sans" w:cs="Liberation Sans"/>
      <w:b/>
      <w:bCs/>
      <w:i/>
      <w:iCs/>
      <w:sz w:val="22"/>
      <w:szCs w:val="22"/>
    </w:rPr>
  </w:style>
  <w:style w:type="character" w:styleId="8" w:customStyle="1">
    <w:name w:val="Заголовок 8 Знак"/>
    <w:basedOn w:val="DefaultParagraphFont"/>
    <w:uiPriority w:val="9"/>
    <w:qFormat/>
    <w:rPr>
      <w:rFonts w:ascii="Liberation Sans" w:hAnsi="Liberation Sans" w:eastAsia="Liberation Sans" w:cs="Liberation Sans"/>
      <w:i/>
      <w:iCs/>
      <w:sz w:val="22"/>
      <w:szCs w:val="22"/>
    </w:rPr>
  </w:style>
  <w:style w:type="character" w:styleId="9" w:customStyle="1">
    <w:name w:val="Заголовок 9 Знак"/>
    <w:basedOn w:val="DefaultParagraphFont"/>
    <w:uiPriority w:val="9"/>
    <w:qFormat/>
    <w:rPr>
      <w:rFonts w:ascii="Liberation Sans" w:hAnsi="Liberation Sans" w:eastAsia="Liberation Sans" w:cs="Liberation Sans"/>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Style8" w:customStyle="1">
    <w:name w:val="Верхний колонтитул Знак"/>
    <w:basedOn w:val="DefaultParagraphFont"/>
    <w:uiPriority w:val="99"/>
    <w:qFormat/>
    <w:rPr/>
  </w:style>
  <w:style w:type="character" w:styleId="Style9" w:customStyle="1">
    <w:name w:val="Нижний колонтитул Знак"/>
    <w:basedOn w:val="DefaultParagraphFont"/>
    <w:uiPriority w:val="99"/>
    <w:qFormat/>
    <w:rPr/>
  </w:style>
  <w:style w:type="character" w:styleId="Style10" w:customStyle="1">
    <w:name w:val="Название объекта Знак"/>
    <w:basedOn w:val="DefaultParagraphFont"/>
    <w:uiPriority w:val="35"/>
    <w:qFormat/>
    <w:rPr>
      <w:b/>
      <w:bCs/>
      <w:color w:themeColor="accent1" w:val="4F81BD"/>
      <w:sz w:val="18"/>
      <w:szCs w:val="18"/>
    </w:rPr>
  </w:style>
  <w:style w:type="character" w:styleId="Style11" w:customStyle="1">
    <w:name w:val="Текст сноски Знак"/>
    <w:uiPriority w:val="99"/>
    <w:qFormat/>
    <w:rPr>
      <w:sz w:val="18"/>
    </w:rPr>
  </w:style>
  <w:style w:type="character" w:styleId="Style12">
    <w:name w:val="Символ сноски"/>
    <w:basedOn w:val="DefaultParagraphFont"/>
    <w:uiPriority w:val="99"/>
    <w:unhideWhenUsed/>
    <w:qFormat/>
    <w:rPr>
      <w:vertAlign w:val="superscript"/>
    </w:rPr>
  </w:style>
  <w:style w:type="character" w:styleId="FootnoteReference">
    <w:name w:val="footnote reference"/>
    <w:rPr>
      <w:vertAlign w:val="superscript"/>
    </w:rPr>
  </w:style>
  <w:style w:type="character" w:styleId="Style13" w:customStyle="1">
    <w:name w:val="Текст концевой сноски Знак"/>
    <w:uiPriority w:val="99"/>
    <w:qFormat/>
    <w:rPr>
      <w:sz w:val="20"/>
    </w:rPr>
  </w:style>
  <w:style w:type="character" w:styleId="Style14">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Hyperlink">
    <w:name w:val="Hyperlink"/>
    <w:rPr>
      <w:color w:val="000080"/>
      <w:u w:val="single"/>
    </w:rPr>
  </w:style>
  <w:style w:type="paragraph" w:styleId="Style15">
    <w:name w:val="Заголовок"/>
    <w:basedOn w:val="Normal"/>
    <w:next w:val="BodyText"/>
    <w:qFormat/>
    <w:pPr>
      <w:keepNext w:val="true"/>
      <w:spacing w:before="240" w:after="120"/>
    </w:pPr>
    <w:rPr>
      <w:rFonts w:ascii="Open Sans" w:hAnsi="Open Sans" w:eastAsia="Tahoma" w:cs="Droid Sans"/>
      <w:sz w:val="28"/>
      <w:szCs w:val="28"/>
    </w:rPr>
  </w:style>
  <w:style w:type="paragraph" w:styleId="BodyText">
    <w:name w:val="Body Text"/>
    <w:basedOn w:val="Normal"/>
    <w:pPr>
      <w:spacing w:before="0" w:after="140"/>
    </w:pPr>
    <w:rPr/>
  </w:style>
  <w:style w:type="paragraph" w:styleId="List">
    <w:name w:val="List"/>
    <w:basedOn w:val="BodyText"/>
    <w:pPr/>
    <w:rPr>
      <w:rFonts w:cs="Droid Sans"/>
    </w:rPr>
  </w:style>
  <w:style w:type="paragraph" w:styleId="Caption">
    <w:name w:val="caption"/>
    <w:basedOn w:val="Normal"/>
    <w:link w:val="Style10"/>
    <w:qFormat/>
    <w:pPr>
      <w:suppressLineNumbers/>
      <w:spacing w:before="120" w:after="120"/>
    </w:pPr>
    <w:rPr>
      <w:rFonts w:cs="Droid Sans"/>
      <w:i/>
      <w:iCs/>
      <w:sz w:val="24"/>
      <w:szCs w:val="24"/>
    </w:rPr>
  </w:style>
  <w:style w:type="paragraph" w:styleId="Style16">
    <w:name w:val="Указатель"/>
    <w:basedOn w:val="Normal"/>
    <w:qFormat/>
    <w:pPr>
      <w:suppressLineNumbers/>
    </w:pPr>
    <w:rPr>
      <w:rFonts w:cs="Droid Sans"/>
    </w:rPr>
  </w:style>
  <w:style w:type="paragraph" w:styleId="ListParagraph">
    <w:name w:val="List Paragraph"/>
    <w:basedOn w:val="Normal"/>
    <w:uiPriority w:val="34"/>
    <w:qFormat/>
    <w:pPr>
      <w:spacing w:before="0" w:after="200"/>
      <w:ind w:left="720"/>
      <w:contextualSpacing/>
    </w:pPr>
    <w:rPr/>
  </w:style>
  <w:style w:type="paragraph" w:styleId="NoSpacing">
    <w:name w:val="No Spacing"/>
    <w:uiPriority w:val="1"/>
    <w:qFormat/>
    <w:pPr>
      <w:widowControl/>
      <w:bidi w:val="0"/>
      <w:spacing w:before="0" w:after="0"/>
      <w:jc w:val="left"/>
    </w:pPr>
    <w:rPr>
      <w:rFonts w:ascii="Calibri" w:hAnsi="Calibri" w:eastAsia="Liberation Sans" w:cs="Liberation Sans" w:asciiTheme="minorHAnsi" w:cstheme="minorBidi" w:eastAsiaTheme="minorEastAsia" w:hAnsiTheme="minorHAnsi"/>
      <w:color w:val="auto"/>
      <w:kern w:val="0"/>
      <w:sz w:val="22"/>
      <w:szCs w:val="22"/>
      <w:lang w:val="ru-RU" w:eastAsia="ru-RU" w:bidi="ar-SA"/>
    </w:rPr>
  </w:style>
  <w:style w:type="paragraph" w:styleId="Title">
    <w:name w:val="Title"/>
    <w:basedOn w:val="Normal"/>
    <w:next w:val="BodyText"/>
    <w:link w:val="Style5"/>
    <w:qFormat/>
    <w:pPr>
      <w:keepNext w:val="true"/>
      <w:spacing w:before="240" w:after="120"/>
    </w:pPr>
    <w:rPr>
      <w:rFonts w:ascii="Open Sans" w:hAnsi="Open Sans" w:eastAsia="Tahoma" w:cs="Droid Sans"/>
      <w:sz w:val="28"/>
      <w:szCs w:val="28"/>
    </w:rPr>
  </w:style>
  <w:style w:type="paragraph" w:styleId="Subtitle">
    <w:name w:val="Subtitle"/>
    <w:basedOn w:val="Normal"/>
    <w:next w:val="Normal"/>
    <w:link w:val="Style6"/>
    <w:uiPriority w:val="11"/>
    <w:qFormat/>
    <w:pPr>
      <w:spacing w:before="200" w:after="200"/>
    </w:pPr>
    <w:rPr>
      <w:sz w:val="24"/>
      <w:szCs w:val="24"/>
    </w:rPr>
  </w:style>
  <w:style w:type="paragraph" w:styleId="Quote">
    <w:name w:val="Quote"/>
    <w:basedOn w:val="Normal"/>
    <w:next w:val="Normal"/>
    <w:link w:val="21"/>
    <w:uiPriority w:val="29"/>
    <w:qFormat/>
    <w:pPr>
      <w:ind w:left="720" w:right="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FootnoteText">
    <w:name w:val="footnote text"/>
    <w:basedOn w:val="Normal"/>
    <w:link w:val="Style11"/>
    <w:uiPriority w:val="99"/>
    <w:semiHidden/>
    <w:unhideWhenUsed/>
    <w:pPr>
      <w:spacing w:lineRule="auto" w:line="240" w:before="0" w:after="40"/>
    </w:pPr>
    <w:rPr>
      <w:sz w:val="18"/>
    </w:rPr>
  </w:style>
  <w:style w:type="paragraph" w:styleId="EndnoteText">
    <w:name w:val="endnote text"/>
    <w:basedOn w:val="Normal"/>
    <w:link w:val="Style13"/>
    <w:uiPriority w:val="99"/>
    <w:semiHidden/>
    <w:unhideWhenUsed/>
    <w:pPr>
      <w:spacing w:lineRule="auto" w:line="240" w:before="0" w:after="0"/>
    </w:pPr>
    <w:rPr>
      <w:sz w:val="20"/>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left="283"/>
    </w:pPr>
    <w:rPr/>
  </w:style>
  <w:style w:type="paragraph" w:styleId="TOC3">
    <w:name w:val="toc 3"/>
    <w:basedOn w:val="Normal"/>
    <w:next w:val="Normal"/>
    <w:uiPriority w:val="39"/>
    <w:unhideWhenUsed/>
    <w:pPr>
      <w:spacing w:before="0" w:after="57"/>
      <w:ind w:left="567"/>
    </w:pPr>
    <w:rPr/>
  </w:style>
  <w:style w:type="paragraph" w:styleId="TOC4">
    <w:name w:val="toc 4"/>
    <w:basedOn w:val="Normal"/>
    <w:next w:val="Normal"/>
    <w:uiPriority w:val="39"/>
    <w:unhideWhenUsed/>
    <w:pPr>
      <w:spacing w:before="0" w:after="57"/>
      <w:ind w:left="850"/>
    </w:pPr>
    <w:rPr/>
  </w:style>
  <w:style w:type="paragraph" w:styleId="TOC5">
    <w:name w:val="toc 5"/>
    <w:basedOn w:val="Normal"/>
    <w:next w:val="Normal"/>
    <w:uiPriority w:val="39"/>
    <w:unhideWhenUsed/>
    <w:pPr>
      <w:spacing w:before="0" w:after="57"/>
      <w:ind w:left="1134"/>
    </w:pPr>
    <w:rPr/>
  </w:style>
  <w:style w:type="paragraph" w:styleId="TOC6">
    <w:name w:val="toc 6"/>
    <w:basedOn w:val="Normal"/>
    <w:next w:val="Normal"/>
    <w:uiPriority w:val="39"/>
    <w:unhideWhenUsed/>
    <w:pPr>
      <w:spacing w:before="0" w:after="57"/>
      <w:ind w:left="1417"/>
    </w:pPr>
    <w:rPr/>
  </w:style>
  <w:style w:type="paragraph" w:styleId="TOC7">
    <w:name w:val="toc 7"/>
    <w:basedOn w:val="Normal"/>
    <w:next w:val="Normal"/>
    <w:uiPriority w:val="39"/>
    <w:unhideWhenUsed/>
    <w:pPr>
      <w:spacing w:before="0" w:after="57"/>
      <w:ind w:left="1701"/>
    </w:pPr>
    <w:rPr/>
  </w:style>
  <w:style w:type="paragraph" w:styleId="TOC8">
    <w:name w:val="toc 8"/>
    <w:basedOn w:val="Normal"/>
    <w:next w:val="Normal"/>
    <w:uiPriority w:val="39"/>
    <w:unhideWhenUsed/>
    <w:pPr>
      <w:spacing w:before="0" w:after="57"/>
      <w:ind w:left="1984"/>
    </w:pPr>
    <w:rPr/>
  </w:style>
  <w:style w:type="paragraph" w:styleId="TOC9">
    <w:name w:val="toc 9"/>
    <w:basedOn w:val="Normal"/>
    <w:next w:val="Normal"/>
    <w:uiPriority w:val="39"/>
    <w:unhideWhenUsed/>
    <w:pPr>
      <w:spacing w:before="0" w:after="57"/>
      <w:ind w:left="2268"/>
    </w:pPr>
    <w:rPr/>
  </w:style>
  <w:style w:type="paragraph" w:styleId="IndexHeading">
    <w:name w:val="index heading"/>
    <w:basedOn w:val="Normal"/>
    <w:qFormat/>
    <w:pPr>
      <w:suppressLineNumbers/>
    </w:pPr>
    <w:rPr>
      <w:rFonts w:cs="Droid Sans"/>
    </w:rPr>
  </w:style>
  <w:style w:type="paragraph" w:styleId="TOCHeading">
    <w:name w:val="TOC Heading"/>
    <w:uiPriority w:val="39"/>
    <w:unhideWhenUsed/>
    <w:qFormat/>
    <w:pPr>
      <w:widowControl/>
      <w:bidi w:val="0"/>
      <w:spacing w:before="0" w:after="0"/>
      <w:jc w:val="left"/>
    </w:pPr>
    <w:rPr>
      <w:rFonts w:ascii="Calibri" w:hAnsi="Calibri" w:eastAsia="Liberation Sans" w:cs="Liberation Sans" w:asciiTheme="minorHAnsi" w:cstheme="minorBidi" w:eastAsiaTheme="minorEastAsia" w:hAnsiTheme="minorHAnsi"/>
      <w:color w:val="auto"/>
      <w:kern w:val="0"/>
      <w:sz w:val="22"/>
      <w:szCs w:val="22"/>
      <w:lang w:val="ru-RU" w:eastAsia="ru-RU" w:bidi="ar-SA"/>
    </w:rPr>
  </w:style>
  <w:style w:type="paragraph" w:styleId="TableofFigures">
    <w:name w:val="table of figures"/>
    <w:basedOn w:val="Normal"/>
    <w:next w:val="Normal"/>
    <w:uiPriority w:val="99"/>
    <w:unhideWhenUsed/>
    <w:pPr>
      <w:spacing w:before="0" w:after="0"/>
    </w:pPr>
    <w:rPr/>
  </w:style>
  <w:style w:type="paragraph" w:styleId="COLBOTTOM" w:customStyle="1">
    <w:name w:val="#COL_BOTTOM"/>
    <w:qFormat/>
    <w:pPr>
      <w:widowControl w:val="false"/>
      <w:bidi w:val="0"/>
      <w:spacing w:before="0" w:after="0"/>
      <w:jc w:val="left"/>
    </w:pPr>
    <w:rPr>
      <w:rFonts w:ascii="Arial, sans-serif" w:hAnsi="Arial, sans-serif" w:eastAsia="Liberation Sans" w:cs="Liberation Sans" w:cstheme="minorBidi" w:eastAsiaTheme="minorEastAsia"/>
      <w:color w:val="auto"/>
      <w:kern w:val="0"/>
      <w:sz w:val="16"/>
      <w:szCs w:val="16"/>
      <w:lang w:val="ru-RU" w:eastAsia="ru-RU" w:bidi="ar-SA"/>
    </w:rPr>
  </w:style>
  <w:style w:type="paragraph" w:styleId="COLTOP" w:customStyle="1">
    <w:name w:val="#COL_TOP"/>
    <w:uiPriority w:val="99"/>
    <w:qFormat/>
    <w:pPr>
      <w:widowControl w:val="false"/>
      <w:bidi w:val="0"/>
      <w:spacing w:before="0" w:after="0"/>
      <w:jc w:val="left"/>
    </w:pPr>
    <w:rPr>
      <w:rFonts w:ascii="Arial, sans-serif" w:hAnsi="Arial, sans-serif" w:eastAsia="Liberation Sans" w:cs="Liberation Sans" w:cstheme="minorBidi" w:eastAsiaTheme="minorEastAsia"/>
      <w:color w:val="auto"/>
      <w:kern w:val="0"/>
      <w:sz w:val="16"/>
      <w:szCs w:val="16"/>
      <w:lang w:val="ru-RU" w:eastAsia="ru-RU" w:bidi="ar-SA"/>
    </w:rPr>
  </w:style>
  <w:style w:type="paragraph" w:styleId="PRINTSECTION" w:customStyle="1">
    <w:name w:val="#PRINT_SECTION"/>
    <w:uiPriority w:val="99"/>
    <w:qFormat/>
    <w:pPr>
      <w:widowControl w:val="false"/>
      <w:bidi w:val="0"/>
      <w:spacing w:before="0" w:after="0"/>
      <w:jc w:val="left"/>
    </w:pPr>
    <w:rPr>
      <w:rFonts w:ascii="Arial, sans-serif" w:hAnsi="Arial, sans-serif" w:eastAsia="Liberation Sans" w:cs="Liberation Sans" w:cstheme="minorBidi" w:eastAsiaTheme="minorEastAsia"/>
      <w:color w:val="auto"/>
      <w:kern w:val="0"/>
      <w:sz w:val="16"/>
      <w:szCs w:val="16"/>
      <w:lang w:val="ru-RU" w:eastAsia="ru-RU" w:bidi="ar-SA"/>
    </w:rPr>
  </w:style>
  <w:style w:type="paragraph" w:styleId="CENTERTEXT" w:customStyle="1">
    <w:name w:val=".CENTERTEXT"/>
    <w:uiPriority w:val="99"/>
    <w:qFormat/>
    <w:pPr>
      <w:widowControl w:val="false"/>
      <w:bidi w:val="0"/>
      <w:spacing w:before="0" w:after="0"/>
      <w:jc w:val="left"/>
    </w:pPr>
    <w:rPr>
      <w:rFonts w:ascii="Arial, sans-serif" w:hAnsi="Arial, sans-serif" w:eastAsia="Liberation Sans" w:cs="Liberation Sans" w:cstheme="minorBidi" w:eastAsiaTheme="minorEastAsia"/>
      <w:color w:val="auto"/>
      <w:kern w:val="0"/>
      <w:sz w:val="24"/>
      <w:szCs w:val="24"/>
      <w:lang w:val="ru-RU" w:eastAsia="ru-RU" w:bidi="ar-SA"/>
    </w:rPr>
  </w:style>
  <w:style w:type="paragraph" w:styleId="DJVU" w:customStyle="1">
    <w:name w:val=".DJVU"/>
    <w:uiPriority w:val="99"/>
    <w:qFormat/>
    <w:pPr>
      <w:widowControl w:val="false"/>
      <w:bidi w:val="0"/>
      <w:spacing w:before="0" w:after="0"/>
      <w:jc w:val="left"/>
    </w:pPr>
    <w:rPr>
      <w:rFonts w:ascii="Arial, sans-serif" w:hAnsi="Arial, sans-serif" w:eastAsia="Liberation Sans" w:cs="Liberation Sans" w:cstheme="minorBidi" w:eastAsiaTheme="minorEastAsia"/>
      <w:color w:val="auto"/>
      <w:kern w:val="0"/>
      <w:sz w:val="24"/>
      <w:szCs w:val="24"/>
      <w:lang w:val="ru-RU" w:eastAsia="ru-RU" w:bidi="ar-SA"/>
    </w:rPr>
  </w:style>
  <w:style w:type="paragraph" w:styleId="EMPTYLINE" w:customStyle="1">
    <w:name w:val=".EMPTY_LINE"/>
    <w:uiPriority w:val="99"/>
    <w:qFormat/>
    <w:pPr>
      <w:widowControl w:val="false"/>
      <w:bidi w:val="0"/>
      <w:spacing w:before="0" w:after="0"/>
      <w:jc w:val="left"/>
    </w:pPr>
    <w:rPr>
      <w:rFonts w:ascii="Arial, sans-serif" w:hAnsi="Arial, sans-serif" w:eastAsia="Liberation Sans" w:cs="Liberation Sans" w:cstheme="minorBidi" w:eastAsiaTheme="minorEastAsia"/>
      <w:color w:val="auto"/>
      <w:kern w:val="0"/>
      <w:sz w:val="24"/>
      <w:szCs w:val="24"/>
      <w:lang w:val="ru-RU" w:eastAsia="ru-RU" w:bidi="ar-SA"/>
    </w:rPr>
  </w:style>
  <w:style w:type="paragraph" w:styleId="FORMATTEXT" w:customStyle="1">
    <w:name w:val=".FORMATTEXT"/>
    <w:uiPriority w:val="99"/>
    <w:qFormat/>
    <w:pPr>
      <w:widowControl w:val="false"/>
      <w:bidi w:val="0"/>
      <w:spacing w:before="0" w:after="0"/>
      <w:jc w:val="left"/>
    </w:pPr>
    <w:rPr>
      <w:rFonts w:ascii="Arial" w:hAnsi="Arial" w:cs="Arial" w:eastAsia="Liberation Sans" w:eastAsiaTheme="minorEastAsia"/>
      <w:color w:val="auto"/>
      <w:kern w:val="0"/>
      <w:sz w:val="20"/>
      <w:szCs w:val="20"/>
      <w:lang w:val="ru-RU" w:eastAsia="ru-RU" w:bidi="ar-SA"/>
    </w:rPr>
  </w:style>
  <w:style w:type="paragraph" w:styleId="HEADERTEXT" w:customStyle="1">
    <w:name w:val=".HEADERTEXT"/>
    <w:uiPriority w:val="99"/>
    <w:qFormat/>
    <w:pPr>
      <w:widowControl w:val="false"/>
      <w:bidi w:val="0"/>
      <w:spacing w:before="0" w:after="0"/>
      <w:jc w:val="left"/>
    </w:pPr>
    <w:rPr>
      <w:rFonts w:ascii="Arial" w:hAnsi="Arial" w:cs="Arial" w:eastAsia="Liberation Sans"/>
      <w:color w:val="2B4279"/>
      <w:kern w:val="0"/>
      <w:sz w:val="20"/>
      <w:szCs w:val="20"/>
      <w:lang w:val="ru-RU" w:eastAsia="ru-RU" w:bidi="ar-SA"/>
    </w:rPr>
  </w:style>
  <w:style w:type="paragraph" w:styleId="HORIZLINE" w:customStyle="1">
    <w:name w:val=".HORIZLINE"/>
    <w:uiPriority w:val="99"/>
    <w:qFormat/>
    <w:pPr>
      <w:widowControl w:val="false"/>
      <w:bidi w:val="0"/>
      <w:spacing w:before="0" w:after="0"/>
      <w:jc w:val="left"/>
    </w:pPr>
    <w:rPr>
      <w:rFonts w:ascii="Arial, sans-serif" w:hAnsi="Arial, sans-serif" w:eastAsia="Liberation Sans" w:cs="Liberation Sans" w:cstheme="minorBidi" w:eastAsiaTheme="minorEastAsia"/>
      <w:color w:val="auto"/>
      <w:kern w:val="0"/>
      <w:sz w:val="24"/>
      <w:szCs w:val="24"/>
      <w:lang w:val="ru-RU" w:eastAsia="ru-RU" w:bidi="ar-SA"/>
    </w:rPr>
  </w:style>
  <w:style w:type="paragraph" w:styleId="MIDDLEPICT" w:customStyle="1">
    <w:name w:val=".MIDDLEPICT"/>
    <w:uiPriority w:val="99"/>
    <w:qFormat/>
    <w:pPr>
      <w:widowControl w:val="false"/>
      <w:bidi w:val="0"/>
      <w:spacing w:before="0" w:after="0"/>
      <w:jc w:val="left"/>
    </w:pPr>
    <w:rPr>
      <w:rFonts w:ascii="Arial, sans-serif" w:hAnsi="Arial, sans-serif" w:eastAsia="Liberation Sans" w:cs="Liberation Sans" w:cstheme="minorBidi" w:eastAsiaTheme="minorEastAsia"/>
      <w:color w:val="auto"/>
      <w:kern w:val="0"/>
      <w:sz w:val="24"/>
      <w:szCs w:val="24"/>
      <w:lang w:val="ru-RU" w:eastAsia="ru-RU" w:bidi="ar-SA"/>
    </w:rPr>
  </w:style>
  <w:style w:type="paragraph" w:styleId="OPENTAB" w:customStyle="1">
    <w:name w:val=".OPENTAB"/>
    <w:uiPriority w:val="99"/>
    <w:qFormat/>
    <w:pPr>
      <w:widowControl w:val="false"/>
      <w:bidi w:val="0"/>
      <w:spacing w:before="0" w:after="0"/>
      <w:jc w:val="left"/>
    </w:pPr>
    <w:rPr>
      <w:rFonts w:ascii="Arial, sans-serif" w:hAnsi="Arial, sans-serif" w:eastAsia="Liberation Sans" w:cs="Liberation Sans" w:cstheme="minorBidi" w:eastAsiaTheme="minorEastAsia"/>
      <w:color w:val="auto"/>
      <w:kern w:val="0"/>
      <w:sz w:val="24"/>
      <w:szCs w:val="24"/>
      <w:lang w:val="ru-RU" w:eastAsia="ru-RU" w:bidi="ar-SA"/>
    </w:rPr>
  </w:style>
  <w:style w:type="paragraph" w:styleId="TOPLEVELTEXT" w:customStyle="1">
    <w:name w:val=".TOPLEVELTEXT"/>
    <w:uiPriority w:val="99"/>
    <w:qFormat/>
    <w:pPr>
      <w:widowControl w:val="false"/>
      <w:bidi w:val="0"/>
      <w:spacing w:before="0" w:after="0"/>
      <w:jc w:val="left"/>
    </w:pPr>
    <w:rPr>
      <w:rFonts w:ascii="Arial, sans-serif" w:hAnsi="Arial, sans-serif" w:eastAsia="Liberation Sans" w:cs="Liberation Sans" w:cstheme="minorBidi" w:eastAsiaTheme="minorEastAsia"/>
      <w:color w:val="auto"/>
      <w:kern w:val="0"/>
      <w:sz w:val="24"/>
      <w:szCs w:val="24"/>
      <w:lang w:val="ru-RU" w:eastAsia="ru-RU" w:bidi="ar-SA"/>
    </w:rPr>
  </w:style>
  <w:style w:type="paragraph" w:styleId="TradeMark" w:customStyle="1">
    <w:name w:val=".TradeMark"/>
    <w:uiPriority w:val="99"/>
    <w:qFormat/>
    <w:pPr>
      <w:widowControl w:val="false"/>
      <w:bidi w:val="0"/>
      <w:spacing w:before="0" w:after="0"/>
      <w:jc w:val="left"/>
    </w:pPr>
    <w:rPr>
      <w:rFonts w:ascii="Arial, sans-serif" w:hAnsi="Arial, sans-serif" w:cs="Arial, sans-serif" w:eastAsia="Liberation Sans" w:eastAsiaTheme="minorEastAsia"/>
      <w:color w:val="auto"/>
      <w:kern w:val="0"/>
      <w:sz w:val="16"/>
      <w:szCs w:val="16"/>
      <w:lang w:val="ru-RU" w:eastAsia="ru-RU" w:bidi="ar-SA"/>
    </w:rPr>
  </w:style>
  <w:style w:type="paragraph" w:styleId="UNFORMATTEXT" w:customStyle="1">
    <w:name w:val=".UNFORMATTEXT"/>
    <w:uiPriority w:val="99"/>
    <w:qFormat/>
    <w:pPr>
      <w:widowControl w:val="false"/>
      <w:bidi w:val="0"/>
      <w:spacing w:before="0" w:after="0"/>
      <w:jc w:val="left"/>
    </w:pPr>
    <w:rPr>
      <w:rFonts w:ascii="Courier New" w:hAnsi="Courier New" w:cs="Courier New" w:eastAsia="Liberation Sans" w:eastAsiaTheme="minorEastAsia"/>
      <w:color w:val="auto"/>
      <w:kern w:val="0"/>
      <w:sz w:val="20"/>
      <w:szCs w:val="20"/>
      <w:lang w:val="ru-RU" w:eastAsia="ru-RU" w:bidi="ar-SA"/>
    </w:rPr>
  </w:style>
  <w:style w:type="paragraph" w:styleId="BODY" w:customStyle="1">
    <w:name w:val="BODY"/>
    <w:uiPriority w:val="99"/>
    <w:qFormat/>
    <w:pPr>
      <w:widowControl w:val="false"/>
      <w:bidi w:val="0"/>
      <w:spacing w:before="0" w:after="0"/>
      <w:jc w:val="left"/>
    </w:pPr>
    <w:rPr>
      <w:rFonts w:ascii="Arial" w:hAnsi="Arial" w:cs="Arial" w:eastAsia="Liberation Sans" w:eastAsiaTheme="minorEastAsia"/>
      <w:color w:val="auto"/>
      <w:kern w:val="0"/>
      <w:sz w:val="20"/>
      <w:szCs w:val="20"/>
      <w:lang w:val="ru-RU" w:eastAsia="ru-RU" w:bidi="ar-SA"/>
    </w:rPr>
  </w:style>
  <w:style w:type="paragraph" w:styleId="HTML" w:customStyle="1">
    <w:name w:val="HTML"/>
    <w:uiPriority w:val="99"/>
    <w:qFormat/>
    <w:pPr>
      <w:widowControl w:val="false"/>
      <w:bidi w:val="0"/>
      <w:spacing w:before="0" w:after="0"/>
      <w:jc w:val="left"/>
    </w:pPr>
    <w:rPr>
      <w:rFonts w:ascii="Arial, sans-serif" w:hAnsi="Arial, sans-serif" w:eastAsia="Liberation Sans" w:cs="Liberation Sans" w:cstheme="minorBidi" w:eastAsiaTheme="minorEastAsia"/>
      <w:color w:val="auto"/>
      <w:kern w:val="0"/>
      <w:sz w:val="24"/>
      <w:szCs w:val="24"/>
      <w:lang w:val="ru-RU" w:eastAsia="ru-RU" w:bidi="ar-SA"/>
    </w:rPr>
  </w:style>
  <w:style w:type="paragraph" w:styleId="TABLE" w:customStyle="1">
    <w:name w:val="TABLE"/>
    <w:uiPriority w:val="99"/>
    <w:qFormat/>
    <w:pPr>
      <w:widowControl w:val="false"/>
      <w:bidi w:val="0"/>
      <w:spacing w:before="0" w:after="0"/>
      <w:jc w:val="left"/>
    </w:pPr>
    <w:rPr>
      <w:rFonts w:ascii="Arial, sans-serif" w:hAnsi="Arial, sans-serif" w:eastAsia="Liberation Sans" w:cs="Liberation Sans" w:cstheme="minorBidi" w:eastAsiaTheme="minorEastAsia"/>
      <w:color w:val="auto"/>
      <w:kern w:val="0"/>
      <w:sz w:val="24"/>
      <w:szCs w:val="24"/>
      <w:lang w:val="ru-RU" w:eastAsia="ru-RU" w:bidi="ar-SA"/>
    </w:rPr>
  </w:style>
  <w:style w:type="paragraph" w:styleId="HeaderandFooter" w:customStyle="1">
    <w:name w:val="Header and Footer"/>
    <w:basedOn w:val="Normal"/>
    <w:qFormat/>
    <w:pPr/>
    <w:rPr/>
  </w:style>
  <w:style w:type="paragraph" w:styleId="Header">
    <w:name w:val="header"/>
    <w:basedOn w:val="HeaderandFooter"/>
    <w:link w:val="Style8"/>
    <w:pPr/>
    <w:rPr/>
  </w:style>
  <w:style w:type="paragraph" w:styleId="Footer">
    <w:name w:val="footer"/>
    <w:basedOn w:val="HeaderandFooter"/>
    <w:link w:val="Style9"/>
    <w:pPr/>
    <w:rPr/>
  </w:style>
  <w:style w:type="paragraph" w:styleId="Style17" w:customStyle="1">
    <w:name w:val="Содержимое таблицы"/>
    <w:basedOn w:val="Normal"/>
    <w:qFormat/>
    <w:pPr>
      <w:widowControl w:val="false"/>
      <w:suppressLineNumbers/>
    </w:pPr>
    <w:rPr/>
  </w:style>
  <w:style w:type="paragraph" w:styleId="Style18" w:customStyle="1">
    <w:name w:val="Заголовок таблицы"/>
    <w:basedOn w:val="Style17"/>
    <w:qFormat/>
    <w:pPr>
      <w:jc w:val="center"/>
    </w:pPr>
    <w:rPr>
      <w:b/>
      <w:bCs/>
    </w:rPr>
  </w:style>
  <w:style w:type="numbering" w:styleId="Style19" w:customStyle="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2">
    <w:name w:val="Table Grid"/>
    <w:basedOn w:val="a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1">
    <w:name w:val="Plain Table 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styleId="23">
    <w:name w:val="Plain Table 2"/>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31">
    <w:name w:val="Plain Table 3"/>
    <w:basedOn w:val="a1"/>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41">
    <w:name w:val="Plain Table 4"/>
    <w:basedOn w:val="a1"/>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51">
    <w:name w:val="Plain Table 5"/>
    <w:basedOn w:val="a1"/>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1">
    <w:name w:val="Grid Table 1 Light"/>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97B4D8"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DA989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C4D79D"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B4A4C8"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95CEDD"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AC192"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styleId="-2">
    <w:name w:val="Grid Table 2"/>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3">
    <w:name w:val="Grid Table 3"/>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4">
    <w:name w:val="Grid Table 4"/>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rPr>
      <w:tblPr/>
      <w:tcPr>
        <w:tcBorders>
          <w:top w:val="single" w:color="5D8AC2"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rPr>
      <w:tblPr/>
      <w:tcPr>
        <w:tcBorders>
          <w:top w:val="single" w:color="D99695"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rPr>
      <w:tblPr/>
      <w:tcPr>
        <w:tcBorders>
          <w:top w:val="single" w:color="9A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rPr>
      <w:tblPr/>
      <w:tcPr>
        <w:tcBorders>
          <w:top w:val="single" w:color="B2A1C6"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5">
    <w:name w:val="Grid Table 5 Dark"/>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styleId="-6">
    <w:name w:val="Grid Table 6 Colorful"/>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rPr>
      <w:tblPr/>
      <w:tcPr>
        <w:tcBorders>
          <w:bottom w:val="single" w:color="A6BFD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rPr>
      <w:tblPr/>
      <w:tcPr>
        <w:tcBorders>
          <w:bottom w:val="single" w:color="D99695"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rPr>
      <w:tblPr/>
      <w:tcPr>
        <w:tcBorders>
          <w:bottom w:val="single" w:color="9A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rPr>
      <w:tblPr/>
      <w:tcPr>
        <w:tcBorders>
          <w:bottom w:val="single" w:color="B2A1C6"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DE9D8" w:fill="FDE9D8" w:themeFill="accent6" w:themeFillTint="34"/>
      </w:tcPr>
    </w:tblStylePr>
    <w:tblStylePr w:type="band1Horz">
      <w:rPr>
        <w:color w:themeColor="accent5" w:themeShade="95"/>
        <w:sz w:val="22"/>
      </w:rPr>
      <w:tblPr/>
      <w:tcPr>
        <w:shd w:val="clear" w:color="FDE9D8" w:fill="FDE9D8" w:themeFill="accent6" w:themeFillTint="34"/>
      </w:tcPr>
    </w:tblStylePr>
    <w:tblStylePr w:type="band2Horz">
      <w:rPr>
        <w:color w:themeColor="accent5" w:themeShade="95"/>
        <w:sz w:val="22"/>
      </w:rPr>
      <w:tblPr/>
    </w:tblStylePr>
  </w:style>
  <w:style w:type="table" w:styleId="-7">
    <w:name w:val="Grid Table 7 Colorful"/>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sz w:val="22"/>
      </w:rPr>
      <w:tblPr/>
      <w:tcPr>
        <w:tcBorders>
          <w:top w:val="none" w:color="auto" w:sz="0" w:space="0"/>
          <w:left w:val="none" w:color="auto" w:sz="0" w:space="0"/>
          <w:bottom w:val="single" w:color="A6BFDD" w:themeColor="accent1" w:sz="4" w:space="0"/>
          <w:right w:val="none" w:color="auto" w:sz="0" w:space="0"/>
        </w:tcBorders>
        <w:shd w:val="clear" w:color="FFFFFF" w:fill="FFFFFF" w:themeFill="light1"/>
      </w:tcPr>
    </w:tblStylePr>
    <w:tblStylePr w:type="lastRow">
      <w:rPr>
        <w:b/>
        <w:color w:themeColor="accent1" w:themeTint="80" w:themeShade="95"/>
        <w:sz w:val="22"/>
      </w:rPr>
      <w:tblPr/>
      <w:tcPr>
        <w:tcBorders>
          <w:top w:val="single" w:color="A6BFDD"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1" w:themeTint="80" w:themeShade="95"/>
        <w:sz w:val="22"/>
      </w:rPr>
      <w:tblPr/>
      <w:tcPr>
        <w:tcBorders>
          <w:top w:val="none" w:color="auto" w:sz="0" w:space="0"/>
          <w:left w:val="none" w:color="auto" w:sz="0" w:space="0"/>
          <w:bottom w:val="none" w:color="auto" w:sz="0" w:space="0"/>
          <w:right w:val="single" w:color="A6BFDD" w:themeColor="accent1" w:sz="4" w:space="0"/>
        </w:tcBorders>
        <w:shd w:val="clear" w:color="FFFFFF" w:fill="auto"/>
      </w:tcPr>
    </w:tblStylePr>
    <w:tblStylePr w:type="lastCol">
      <w:rPr>
        <w:i/>
        <w:color w:themeColor="accent1" w:themeTint="80" w:themeShade="95"/>
        <w:sz w:val="22"/>
      </w:rPr>
      <w:tblPr/>
      <w:tcPr>
        <w:tcBorders>
          <w:top w:val="none" w:color="auto" w:sz="0" w:space="0"/>
          <w:left w:val="single" w:color="A6BFDD" w:themeColor="accent1" w:sz="4" w:space="0"/>
          <w:bottom w:val="none" w:color="auto" w:sz="0" w:space="0"/>
          <w:right w:val="none" w:color="auto" w:sz="0" w:space="0"/>
        </w:tcBorders>
        <w:shd w:val="clear" w:color="FFFFFF" w:fill="auto"/>
      </w:tc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sz w:val="22"/>
      </w:rPr>
      <w:tblPr/>
      <w:tcPr>
        <w:tcBorders>
          <w:top w:val="none" w:color="auto" w:sz="0" w:space="0"/>
          <w:left w:val="none" w:color="auto" w:sz="0" w:space="0"/>
          <w:bottom w:val="single" w:color="D99695" w:themeColor="accent2" w:sz="4" w:space="0"/>
          <w:right w:val="none" w:color="auto" w:sz="0" w:space="0"/>
        </w:tcBorders>
        <w:shd w:val="clear" w:color="FFFFFF" w:fill="FFFFFF" w:themeFill="light1"/>
      </w:tcPr>
    </w:tblStylePr>
    <w:tblStylePr w:type="lastRow">
      <w:rPr>
        <w:b/>
        <w:color w:themeColor="accent2" w:themeTint="97" w:themeShade="95"/>
        <w:sz w:val="22"/>
      </w:rPr>
      <w:tblPr/>
      <w:tcPr>
        <w:tcBorders>
          <w:top w:val="single" w:color="D99695"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2" w:themeTint="97" w:themeShade="95"/>
        <w:sz w:val="22"/>
      </w:rPr>
      <w:tblPr/>
      <w:tcPr>
        <w:tcBorders>
          <w:top w:val="none" w:color="auto" w:sz="0" w:space="0"/>
          <w:left w:val="none" w:color="auto" w:sz="0" w:space="0"/>
          <w:bottom w:val="none" w:color="auto" w:sz="0"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auto" w:sz="0" w:space="0"/>
          <w:left w:val="single" w:color="D99695" w:themeColor="accent2" w:sz="4" w:space="0"/>
          <w:bottom w:val="none" w:color="auto" w:sz="0" w:space="0"/>
          <w:right w:val="none" w:color="auto" w:sz="0" w:space="0"/>
        </w:tcBorders>
        <w:shd w:val="clear" w:color="FFFFFF" w:fill="auto"/>
      </w:tc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sz w:val="22"/>
      </w:rPr>
      <w:tblPr/>
      <w:tcPr>
        <w:tcBorders>
          <w:top w:val="none" w:color="auto" w:sz="0" w:space="0"/>
          <w:left w:val="none" w:color="auto" w:sz="0" w:space="0"/>
          <w:bottom w:val="single" w:color="9ABB59" w:themeColor="accent3" w:sz="4" w:space="0"/>
          <w:right w:val="none" w:color="auto" w:sz="0" w:space="0"/>
        </w:tcBorders>
        <w:shd w:val="clear" w:color="FFFFFF" w:fill="FFFFFF" w:themeFill="light1"/>
      </w:tcPr>
    </w:tblStylePr>
    <w:tblStylePr w:type="lastRow">
      <w:rPr>
        <w:b/>
        <w:color w:themeColor="accent3" w:themeTint="fe" w:themeShade="95"/>
        <w:sz w:val="22"/>
      </w:rPr>
      <w:tblPr/>
      <w:tcPr>
        <w:tcBorders>
          <w:top w:val="single" w:color="9ABB59"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3" w:themeTint="fe" w:themeShade="95"/>
        <w:sz w:val="22"/>
      </w:rPr>
      <w:tblPr/>
      <w:tcPr>
        <w:tcBorders>
          <w:top w:val="none" w:color="auto" w:sz="0" w:space="0"/>
          <w:left w:val="none" w:color="auto" w:sz="0" w:space="0"/>
          <w:bottom w:val="none" w:color="auto" w:sz="0" w:space="0"/>
          <w:right w:val="single" w:color="9ABB59" w:themeColor="accent3" w:sz="4" w:space="0"/>
        </w:tcBorders>
        <w:shd w:val="clear" w:color="FFFFFF" w:fill="auto"/>
      </w:tcPr>
    </w:tblStylePr>
    <w:tblStylePr w:type="lastCol">
      <w:rPr>
        <w:i/>
        <w:color w:themeColor="accent3" w:themeTint="fe" w:themeShade="95"/>
        <w:sz w:val="22"/>
      </w:rPr>
      <w:tblPr/>
      <w:tcPr>
        <w:tcBorders>
          <w:top w:val="none" w:color="auto" w:sz="0" w:space="0"/>
          <w:left w:val="single" w:color="9ABB59" w:themeColor="accent3" w:sz="4" w:space="0"/>
          <w:bottom w:val="none" w:color="auto" w:sz="0" w:space="0"/>
          <w:right w:val="none" w:color="auto" w:sz="0" w:space="0"/>
        </w:tcBorders>
        <w:shd w:val="clear" w:color="FFFFFF" w:fill="auto"/>
      </w:tc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sz w:val="22"/>
      </w:rPr>
      <w:tblPr/>
      <w:tcPr>
        <w:tcBorders>
          <w:top w:val="none" w:color="auto" w:sz="0" w:space="0"/>
          <w:left w:val="none" w:color="auto" w:sz="0" w:space="0"/>
          <w:bottom w:val="single" w:color="B2A1C6" w:themeColor="accent4" w:sz="4" w:space="0"/>
          <w:right w:val="none" w:color="auto" w:sz="0" w:space="0"/>
        </w:tcBorders>
        <w:shd w:val="clear" w:color="FFFFFF" w:fill="FFFFFF" w:themeFill="light1"/>
      </w:tcPr>
    </w:tblStylePr>
    <w:tblStylePr w:type="lastRow">
      <w:rPr>
        <w:b/>
        <w:color w:themeColor="accent4" w:themeTint="9a" w:themeShade="95"/>
        <w:sz w:val="22"/>
      </w:rPr>
      <w:tblPr/>
      <w:tcPr>
        <w:tcBorders>
          <w:top w:val="single" w:color="B2A1C6"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4" w:themeTint="9a" w:themeShade="95"/>
        <w:sz w:val="22"/>
      </w:rPr>
      <w:tblPr/>
      <w:tcPr>
        <w:tcBorders>
          <w:top w:val="none" w:color="auto" w:sz="0" w:space="0"/>
          <w:left w:val="none" w:color="auto" w:sz="0" w:space="0"/>
          <w:bottom w:val="none" w:color="auto" w:sz="0"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auto" w:sz="0" w:space="0"/>
          <w:left w:val="single" w:color="B2A1C6" w:themeColor="accent4" w:sz="4" w:space="0"/>
          <w:bottom w:val="none" w:color="auto" w:sz="0" w:space="0"/>
          <w:right w:val="none" w:color="auto" w:sz="0" w:space="0"/>
        </w:tcBorders>
        <w:shd w:val="clear" w:color="FFFFFF" w:fill="auto"/>
      </w:tc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themeColor="accent5" w:themeShade="95"/>
        <w:sz w:val="22"/>
      </w:rPr>
      <w:tblPr/>
      <w:tcPr>
        <w:tcBorders>
          <w:top w:val="none" w:color="auto" w:sz="0" w:space="0"/>
          <w:left w:val="none" w:color="auto" w:sz="0" w:space="0"/>
          <w:bottom w:val="single" w:color="99D0DE" w:themeColor="accent5" w:sz="4" w:space="0"/>
          <w:right w:val="none" w:color="auto" w:sz="0" w:space="0"/>
        </w:tcBorders>
        <w:shd w:val="clear" w:color="FFFFFF" w:fill="FFFFFF" w:themeFill="light1"/>
      </w:tcPr>
    </w:tblStylePr>
    <w:tblStylePr w:type="lastRow">
      <w:rPr>
        <w:b/>
        <w:color w:themeColor="accent5" w:themeShade="95"/>
        <w:sz w:val="22"/>
      </w:rPr>
      <w:tblPr/>
      <w:tcPr>
        <w:tcBorders>
          <w:top w:val="single" w:color="99D0DE"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5" w:themeShade="95"/>
        <w:sz w:val="22"/>
      </w:rPr>
      <w:tblPr/>
      <w:tcPr>
        <w:tcBorders>
          <w:top w:val="none" w:color="auto" w:sz="0" w:space="0"/>
          <w:left w:val="none" w:color="auto" w:sz="0" w:space="0"/>
          <w:bottom w:val="none" w:color="auto" w:sz="0" w:space="0"/>
          <w:right w:val="single" w:color="99D0DE" w:themeColor="accent5" w:sz="4" w:space="0"/>
        </w:tcBorders>
        <w:shd w:val="clear" w:color="FFFFFF" w:fill="auto"/>
      </w:tcPr>
    </w:tblStylePr>
    <w:tblStylePr w:type="lastCol">
      <w:rPr>
        <w:i/>
        <w:color w:themeColor="accent5" w:themeShade="95"/>
        <w:sz w:val="22"/>
      </w:rPr>
      <w:tblPr/>
      <w:tcPr>
        <w:tcBorders>
          <w:top w:val="none" w:color="auto" w:sz="0" w:space="0"/>
          <w:left w:val="single" w:color="99D0DE" w:themeColor="accent5" w:sz="4" w:space="0"/>
          <w:bottom w:val="none" w:color="auto" w:sz="0" w:space="0"/>
          <w:right w:val="none" w:color="auto" w:sz="0" w:space="0"/>
        </w:tcBorders>
        <w:shd w:val="clear" w:color="FFFFFF" w:fill="auto"/>
      </w:tc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themeColor="accent6" w:themeShade="95"/>
        <w:sz w:val="22"/>
      </w:rPr>
      <w:tblPr/>
      <w:tcPr>
        <w:tcBorders>
          <w:top w:val="none" w:color="auto" w:sz="0" w:space="0"/>
          <w:left w:val="none" w:color="auto" w:sz="0" w:space="0"/>
          <w:bottom w:val="single" w:color="FAC396" w:themeColor="accent6" w:sz="4" w:space="0"/>
          <w:right w:val="none" w:color="auto" w:sz="0" w:space="0"/>
        </w:tcBorders>
        <w:shd w:val="clear" w:color="FFFFFF" w:fill="FFFFFF" w:themeFill="light1"/>
      </w:tcPr>
    </w:tblStylePr>
    <w:tblStylePr w:type="lastRow">
      <w:rPr>
        <w:b/>
        <w:color w:themeColor="accent6" w:themeShade="95"/>
        <w:sz w:val="22"/>
      </w:rPr>
      <w:tblPr/>
      <w:tcPr>
        <w:tcBorders>
          <w:top w:val="single" w:color="FAC396"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6" w:themeShade="95"/>
        <w:sz w:val="22"/>
      </w:rPr>
      <w:tblPr/>
      <w:tcPr>
        <w:tcBorders>
          <w:top w:val="none" w:color="auto" w:sz="0" w:space="0"/>
          <w:left w:val="none" w:color="auto" w:sz="0" w:space="0"/>
          <w:bottom w:val="none" w:color="auto" w:sz="0" w:space="0"/>
          <w:right w:val="single" w:color="FAC396" w:themeColor="accent6" w:sz="4" w:space="0"/>
        </w:tcBorders>
        <w:shd w:val="clear" w:color="FFFFFF" w:fill="auto"/>
      </w:tcPr>
    </w:tblStylePr>
    <w:tblStylePr w:type="lastCol">
      <w:rPr>
        <w:i/>
        <w:color w:themeColor="accent6" w:themeShade="95"/>
        <w:sz w:val="22"/>
      </w:rPr>
      <w:tblPr/>
      <w:tcPr>
        <w:tcBorders>
          <w:top w:val="none" w:color="auto" w:sz="0" w:space="0"/>
          <w:left w:val="single" w:color="FAC396" w:themeColor="accent6" w:sz="4" w:space="0"/>
          <w:bottom w:val="none" w:color="auto" w:sz="0" w:space="0"/>
          <w:right w:val="none" w:color="auto" w:sz="0" w:space="0"/>
        </w:tcBorders>
        <w:shd w:val="clear" w:color="FFFFFF" w:fill="auto"/>
      </w:tcPr>
    </w:tblStylePr>
    <w:tblStylePr w:type="band1Vert">
      <w:tblPr/>
      <w:tcPr>
        <w:shd w:val="clear" w:color="FDE9D8" w:fill="FDE9D8" w:themeFill="accent6" w:themeFillTint="34"/>
      </w:tcPr>
    </w:tblStylePr>
    <w:tblStylePr w:type="band1Horz">
      <w:rPr>
        <w:color w:themeColor="accent6" w:themeShade="95"/>
        <w:sz w:val="22"/>
      </w:rPr>
      <w:tblPr/>
      <w:tcPr>
        <w:shd w:val="clear" w:color="FDE9D8" w:fill="FDE9D8" w:themeFill="accent6" w:themeFillTint="34"/>
      </w:tcPr>
    </w:tblStylePr>
    <w:tblStylePr w:type="band2Horz">
      <w:rPr>
        <w:color w:themeColor="accent6" w:themeShade="95"/>
        <w:sz w:val="22"/>
      </w:rPr>
      <w:tblPr/>
    </w:tblStylePr>
  </w:style>
  <w:style w:type="table" w:styleId="-10">
    <w:name w:val="List Table 1 Light"/>
    <w:basedOn w:val="a1"/>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styleId="-20">
    <w:name w:val="List Table 2"/>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30">
    <w:name w:val="List Table 3"/>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D99695" w:themeColor="accent2" w:sz="4" w:space="0"/>
          <w:right w:val="single" w:color="D99695" w:themeColor="accent2" w:sz="4" w:space="0"/>
        </w:tcBorders>
      </w:tcPr>
    </w:tblStylePr>
    <w:tblStylePr w:type="band1Horz">
      <w:rPr>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3D69B" w:themeColor="accent3" w:sz="4" w:space="0"/>
          <w:right w:val="single" w:color="C3D69B" w:themeColor="accent3" w:sz="4" w:space="0"/>
        </w:tcBorders>
      </w:tcPr>
    </w:tblStylePr>
    <w:tblStylePr w:type="band1Horz">
      <w:rPr>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B2A1C6" w:themeColor="accent4" w:sz="4" w:space="0"/>
          <w:right w:val="single" w:color="B2A1C6" w:themeColor="accent4" w:sz="4" w:space="0"/>
        </w:tcBorders>
      </w:tcPr>
    </w:tblStylePr>
    <w:tblStylePr w:type="band1Horz">
      <w:rPr>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2CCDC" w:themeColor="accent5" w:sz="4" w:space="0"/>
          <w:right w:val="single" w:color="92CCDC" w:themeColor="accent5" w:sz="4" w:space="0"/>
        </w:tcBorders>
      </w:tcPr>
    </w:tblStylePr>
    <w:tblStylePr w:type="band1Horz">
      <w:rPr>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AC090" w:themeColor="accent6" w:sz="4" w:space="0"/>
          <w:right w:val="single" w:color="FAC090" w:themeColor="accent6" w:sz="4" w:space="0"/>
        </w:tcBorders>
      </w:tcPr>
    </w:tblStylePr>
    <w:tblStylePr w:type="band1Horz">
      <w:rPr>
        <w:sz w:val="22"/>
      </w:rPr>
      <w:tblPr/>
      <w:tcPr>
        <w:tcBorders>
          <w:top w:val="single" w:color="FAC090" w:themeColor="accent6" w:sz="4" w:space="0"/>
          <w:bottom w:val="single" w:color="FAC090" w:themeColor="accent6" w:sz="4" w:space="0"/>
        </w:tcBorders>
      </w:tcPr>
    </w:tblStylePr>
  </w:style>
  <w:style w:type="table" w:styleId="-40">
    <w:name w:val="List Table 4"/>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50">
    <w:name w:val="List Table 5 Dark"/>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styleId="-60">
    <w:name w:val="List Table 6 Colorful"/>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F81BD" w:themeColor="accent1" w:sz="4" w:space="0"/>
        <w:bottom w:val="single" w:color="4F81BD" w:themeColor="accent1" w:sz="4" w:space="0"/>
      </w:tblBorders>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themeColor="accent2" w:themeTint="97" w:themeShade="95"/>
      </w:rPr>
      <w:tblPr/>
      <w:tcPr>
        <w:tcBorders>
          <w:bottom w:val="single" w:color="D99695" w:themeColor="accent2" w:sz="4" w:space="0"/>
        </w:tcBorders>
      </w:tcPr>
    </w:tblStylePr>
    <w:tblStylePr w:type="lastRow">
      <w:rPr>
        <w:b/>
        <w:color w:themeColor="accent2" w:themeTint="97" w:themeShade="95"/>
      </w:rPr>
      <w:tblPr/>
      <w:tcPr>
        <w:tcBorders>
          <w:top w:val="single" w:color="D99695"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themeColor="accent3" w:themeTint="98" w:themeShade="95"/>
      </w:rPr>
      <w:tblPr/>
      <w:tcPr>
        <w:tcBorders>
          <w:bottom w:val="single" w:color="C3D69B" w:themeColor="accent3" w:sz="4" w:space="0"/>
        </w:tcBorders>
      </w:tcPr>
    </w:tblStylePr>
    <w:tblStylePr w:type="lastRow">
      <w:rPr>
        <w:b/>
        <w:color w:themeColor="accent3" w:themeTint="98" w:themeShade="95"/>
      </w:rPr>
      <w:tblPr/>
      <w:tcPr>
        <w:tcBorders>
          <w:top w:val="single" w:color="C3D69B"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themeColor="accent4" w:themeTint="9a" w:themeShade="95"/>
      </w:rPr>
      <w:tblPr/>
      <w:tcPr>
        <w:tcBorders>
          <w:bottom w:val="single" w:color="B2A1C6" w:themeColor="accent4" w:sz="4" w:space="0"/>
        </w:tcBorders>
      </w:tcPr>
    </w:tblStylePr>
    <w:tblStylePr w:type="lastRow">
      <w:rPr>
        <w:b/>
        <w:color w:themeColor="accent4" w:themeTint="9a" w:themeShade="95"/>
      </w:rPr>
      <w:tblPr/>
      <w:tcPr>
        <w:tcBorders>
          <w:top w:val="single" w:color="B2A1C6"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themeColor="accent5" w:themeTint="9a" w:themeShade="95"/>
      </w:rPr>
      <w:tblPr/>
      <w:tcPr>
        <w:tcBorders>
          <w:bottom w:val="single" w:color="92CCDC" w:themeColor="accent5" w:sz="4" w:space="0"/>
        </w:tcBorders>
      </w:tcPr>
    </w:tblStylePr>
    <w:tblStylePr w:type="lastRow">
      <w:rPr>
        <w:b/>
        <w:color w:themeColor="accent5" w:themeTint="9a" w:themeShade="95"/>
      </w:rPr>
      <w:tblPr/>
      <w:tcPr>
        <w:tcBorders>
          <w:top w:val="single" w:color="92CCDC"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themeColor="accent6" w:themeTint="98" w:themeShade="95"/>
      </w:rPr>
      <w:tblPr/>
      <w:tcPr>
        <w:tcBorders>
          <w:bottom w:val="single" w:color="FAC090" w:themeColor="accent6" w:sz="4" w:space="0"/>
        </w:tcBorders>
      </w:tcPr>
    </w:tblStylePr>
    <w:tblStylePr w:type="lastRow">
      <w:rPr>
        <w:b/>
        <w:color w:themeColor="accent6" w:themeTint="98" w:themeShade="95"/>
      </w:rPr>
      <w:tblPr/>
      <w:tcPr>
        <w:tcBorders>
          <w:top w:val="single" w:color="FAC090"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styleId="-70">
    <w:name w:val="List Table 7 Colorful"/>
    <w:basedOn w:val="a1"/>
    <w:uiPriority w:val="99"/>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F81BD" w:themeColor="accent1" w:sz="4" w:space="0"/>
      </w:tblBorders>
    </w:tblPr>
    <w:tblStylePr w:type="firstRow">
      <w:rPr>
        <w:i/>
        <w:color w:themeColor="accent1" w:themeShade="95"/>
        <w:sz w:val="22"/>
      </w:rPr>
      <w:tblPr/>
      <w:tcPr>
        <w:tcBorders>
          <w:top w:val="none" w:color="auto" w:sz="0" w:space="0"/>
          <w:left w:val="none" w:color="auto" w:sz="0" w:space="0"/>
          <w:bottom w:val="single" w:color="4F81BD" w:themeColor="accent1" w:sz="4" w:space="0"/>
          <w:right w:val="none" w:color="auto" w:sz="0"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1" w:themeShade="95"/>
        <w:sz w:val="22"/>
      </w:rPr>
      <w:tblPr/>
      <w:tcPr>
        <w:tcBorders>
          <w:top w:val="none" w:color="auto" w:sz="0" w:space="0"/>
          <w:left w:val="none" w:color="auto" w:sz="0" w:space="0"/>
          <w:bottom w:val="none" w:color="auto" w:sz="0" w:space="0"/>
          <w:right w:val="single" w:color="4F81BD" w:themeColor="accent1" w:sz="4" w:space="0"/>
        </w:tcBorders>
        <w:shd w:val="clear" w:color="FFFFFF" w:fill="auto"/>
      </w:tcPr>
    </w:tblStylePr>
    <w:tblStylePr w:type="lastCol">
      <w:rPr>
        <w:i/>
        <w:color w:themeColor="accent1" w:themeShade="95"/>
        <w:sz w:val="22"/>
      </w:rPr>
      <w:tblPr/>
      <w:tcPr>
        <w:tcBorders>
          <w:top w:val="none" w:color="auto" w:sz="0" w:space="0"/>
          <w:left w:val="single" w:color="4F81BD" w:themeColor="accent1" w:sz="4" w:space="0"/>
          <w:bottom w:val="none" w:color="auto" w:sz="0" w:space="0"/>
          <w:right w:val="none" w:color="auto" w:sz="0" w:space="0"/>
        </w:tcBorders>
        <w:shd w:val="clear" w:color="FFFFFF" w:fill="auto"/>
      </w:tc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D99695" w:themeColor="accent2" w:themeTint="97" w:sz="4" w:space="0"/>
      </w:tblBorders>
    </w:tblPr>
    <w:tblStylePr w:type="firstRow">
      <w:rPr>
        <w:i/>
        <w:color w:themeColor="accent2" w:themeTint="97" w:themeShade="95"/>
        <w:sz w:val="22"/>
      </w:rPr>
      <w:tblPr/>
      <w:tcPr>
        <w:tcBorders>
          <w:top w:val="none" w:color="auto" w:sz="0" w:space="0"/>
          <w:left w:val="none" w:color="auto" w:sz="0" w:space="0"/>
          <w:bottom w:val="single" w:color="D99695" w:themeColor="accent2" w:sz="4" w:space="0"/>
          <w:right w:val="none" w:color="auto" w:sz="0" w:space="0"/>
        </w:tcBorders>
        <w:shd w:val="clear" w:color="FFFFFF" w:fill="FFFFFF" w:themeFill="light1"/>
      </w:tcPr>
    </w:tblStylePr>
    <w:tblStylePr w:type="lastRow">
      <w:rPr>
        <w:i/>
        <w:color w:themeColor="accent2" w:themeTint="97" w:themeShade="95"/>
        <w:sz w:val="22"/>
      </w:rPr>
      <w:tblPr/>
      <w:tcPr>
        <w:tcBorders>
          <w:top w:val="single" w:color="D99695"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2" w:themeTint="97" w:themeShade="95"/>
        <w:sz w:val="22"/>
      </w:rPr>
      <w:tblPr/>
      <w:tcPr>
        <w:tcBorders>
          <w:top w:val="none" w:color="auto" w:sz="0" w:space="0"/>
          <w:left w:val="none" w:color="auto" w:sz="0" w:space="0"/>
          <w:bottom w:val="none" w:color="auto" w:sz="0"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auto" w:sz="0" w:space="0"/>
          <w:left w:val="single" w:color="D99695" w:themeColor="accent2" w:sz="4" w:space="0"/>
          <w:bottom w:val="none" w:color="auto" w:sz="0" w:space="0"/>
          <w:right w:val="none" w:color="auto" w:sz="0" w:space="0"/>
        </w:tcBorders>
        <w:shd w:val="clear" w:color="FFFFFF" w:fill="auto"/>
      </w:tc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3D69B" w:themeColor="accent3" w:themeTint="98" w:sz="4" w:space="0"/>
      </w:tblBorders>
    </w:tblPr>
    <w:tblStylePr w:type="firstRow">
      <w:rPr>
        <w:i/>
        <w:color w:themeColor="accent3" w:themeTint="98" w:themeShade="95"/>
        <w:sz w:val="22"/>
      </w:rPr>
      <w:tblPr/>
      <w:tcPr>
        <w:tcBorders>
          <w:top w:val="none" w:color="auto" w:sz="0" w:space="0"/>
          <w:left w:val="none" w:color="auto" w:sz="0" w:space="0"/>
          <w:bottom w:val="single" w:color="C3D69B" w:themeColor="accent3" w:sz="4" w:space="0"/>
          <w:right w:val="none" w:color="auto" w:sz="0" w:space="0"/>
        </w:tcBorders>
        <w:shd w:val="clear" w:color="FFFFFF" w:fill="FFFFFF" w:themeFill="light1"/>
      </w:tcPr>
    </w:tblStylePr>
    <w:tblStylePr w:type="lastRow">
      <w:rPr>
        <w:i/>
        <w:color w:themeColor="accent3" w:themeTint="98" w:themeShade="95"/>
        <w:sz w:val="22"/>
      </w:rPr>
      <w:tblPr/>
      <w:tcPr>
        <w:tcBorders>
          <w:top w:val="single" w:color="C3D69B"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3" w:themeTint="98" w:themeShade="95"/>
        <w:sz w:val="22"/>
      </w:rPr>
      <w:tblPr/>
      <w:tcPr>
        <w:tcBorders>
          <w:top w:val="none" w:color="auto" w:sz="0" w:space="0"/>
          <w:left w:val="none" w:color="auto" w:sz="0" w:space="0"/>
          <w:bottom w:val="none" w:color="auto" w:sz="0" w:space="0"/>
          <w:right w:val="single" w:color="C3D69B" w:themeColor="accent3" w:sz="4" w:space="0"/>
        </w:tcBorders>
        <w:shd w:val="clear" w:color="FFFFFF" w:fill="auto"/>
      </w:tcPr>
    </w:tblStylePr>
    <w:tblStylePr w:type="lastCol">
      <w:rPr>
        <w:i/>
        <w:color w:themeColor="accent3" w:themeTint="98" w:themeShade="95"/>
        <w:sz w:val="22"/>
      </w:rPr>
      <w:tblPr/>
      <w:tcPr>
        <w:tcBorders>
          <w:top w:val="none" w:color="auto" w:sz="0" w:space="0"/>
          <w:left w:val="single" w:color="C3D69B" w:themeColor="accent3" w:sz="4" w:space="0"/>
          <w:bottom w:val="none" w:color="auto" w:sz="0" w:space="0"/>
          <w:right w:val="none" w:color="auto" w:sz="0" w:space="0"/>
        </w:tcBorders>
        <w:shd w:val="clear" w:color="FFFFFF" w:fill="auto"/>
      </w:tc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B2A1C6" w:themeColor="accent4" w:themeTint="9a" w:sz="4" w:space="0"/>
      </w:tblBorders>
    </w:tblPr>
    <w:tblStylePr w:type="firstRow">
      <w:rPr>
        <w:i/>
        <w:color w:themeColor="accent4" w:themeTint="9a" w:themeShade="95"/>
        <w:sz w:val="22"/>
      </w:rPr>
      <w:tblPr/>
      <w:tcPr>
        <w:tcBorders>
          <w:top w:val="none" w:color="auto" w:sz="0" w:space="0"/>
          <w:left w:val="none" w:color="auto" w:sz="0" w:space="0"/>
          <w:bottom w:val="single" w:color="B2A1C6" w:themeColor="accent4" w:sz="4" w:space="0"/>
          <w:right w:val="none" w:color="auto" w:sz="0" w:space="0"/>
        </w:tcBorders>
        <w:shd w:val="clear" w:color="FFFFFF" w:fill="FFFFFF" w:themeFill="light1"/>
      </w:tcPr>
    </w:tblStylePr>
    <w:tblStylePr w:type="lastRow">
      <w:rPr>
        <w:i/>
        <w:color w:themeColor="accent4" w:themeTint="9a" w:themeShade="95"/>
        <w:sz w:val="22"/>
      </w:rPr>
      <w:tblPr/>
      <w:tcPr>
        <w:tcBorders>
          <w:top w:val="single" w:color="B2A1C6"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4" w:themeTint="9a" w:themeShade="95"/>
        <w:sz w:val="22"/>
      </w:rPr>
      <w:tblPr/>
      <w:tcPr>
        <w:tcBorders>
          <w:top w:val="none" w:color="auto" w:sz="0" w:space="0"/>
          <w:left w:val="none" w:color="auto" w:sz="0" w:space="0"/>
          <w:bottom w:val="none" w:color="auto" w:sz="0"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auto" w:sz="0" w:space="0"/>
          <w:left w:val="single" w:color="B2A1C6" w:themeColor="accent4" w:sz="4" w:space="0"/>
          <w:bottom w:val="none" w:color="auto" w:sz="0" w:space="0"/>
          <w:right w:val="none" w:color="auto" w:sz="0" w:space="0"/>
        </w:tcBorders>
        <w:shd w:val="clear" w:color="FFFFFF" w:fill="auto"/>
      </w:tc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2CCDC" w:themeColor="accent5" w:themeTint="9a" w:sz="4" w:space="0"/>
      </w:tblBorders>
    </w:tblPr>
    <w:tblStylePr w:type="firstRow">
      <w:rPr>
        <w:i/>
        <w:color w:themeColor="accent5" w:themeTint="9a" w:themeShade="95"/>
        <w:sz w:val="22"/>
      </w:rPr>
      <w:tblPr/>
      <w:tcPr>
        <w:tcBorders>
          <w:top w:val="none" w:color="auto" w:sz="0" w:space="0"/>
          <w:left w:val="none" w:color="auto" w:sz="0" w:space="0"/>
          <w:bottom w:val="single" w:color="92CCDC" w:themeColor="accent5" w:sz="4" w:space="0"/>
          <w:right w:val="none" w:color="auto" w:sz="0" w:space="0"/>
        </w:tcBorders>
        <w:shd w:val="clear" w:color="FFFFFF" w:fill="FFFFFF" w:themeFill="light1"/>
      </w:tcPr>
    </w:tblStylePr>
    <w:tblStylePr w:type="lastRow">
      <w:rPr>
        <w:i/>
        <w:color w:themeColor="accent5" w:themeTint="9a" w:themeShade="95"/>
        <w:sz w:val="22"/>
      </w:rPr>
      <w:tblPr/>
      <w:tcPr>
        <w:tcBorders>
          <w:top w:val="single" w:color="92CCDC"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5" w:themeTint="9a" w:themeShade="95"/>
        <w:sz w:val="22"/>
      </w:rPr>
      <w:tblPr/>
      <w:tcPr>
        <w:tcBorders>
          <w:top w:val="none" w:color="auto" w:sz="0" w:space="0"/>
          <w:left w:val="none" w:color="auto" w:sz="0" w:space="0"/>
          <w:bottom w:val="none" w:color="auto" w:sz="0" w:space="0"/>
          <w:right w:val="single" w:color="92CCDC" w:themeColor="accent5" w:sz="4" w:space="0"/>
        </w:tcBorders>
        <w:shd w:val="clear" w:color="FFFFFF" w:fill="auto"/>
      </w:tcPr>
    </w:tblStylePr>
    <w:tblStylePr w:type="lastCol">
      <w:rPr>
        <w:i/>
        <w:color w:themeColor="accent5" w:themeTint="9a" w:themeShade="95"/>
        <w:sz w:val="22"/>
      </w:rPr>
      <w:tblPr/>
      <w:tcPr>
        <w:tcBorders>
          <w:top w:val="none" w:color="auto" w:sz="0" w:space="0"/>
          <w:left w:val="single" w:color="92CCDC" w:themeColor="accent5" w:sz="4" w:space="0"/>
          <w:bottom w:val="none" w:color="auto" w:sz="0" w:space="0"/>
          <w:right w:val="none" w:color="auto" w:sz="0" w:space="0"/>
        </w:tcBorders>
        <w:shd w:val="clear" w:color="FFFFFF" w:fill="auto"/>
      </w:tc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FAC090" w:themeColor="accent6" w:themeTint="98" w:sz="4" w:space="0"/>
      </w:tblBorders>
    </w:tblPr>
    <w:tblStylePr w:type="firstRow">
      <w:rPr>
        <w:i/>
        <w:color w:themeColor="accent6" w:themeTint="98" w:themeShade="95"/>
        <w:sz w:val="22"/>
      </w:rPr>
      <w:tblPr/>
      <w:tcPr>
        <w:tcBorders>
          <w:top w:val="none" w:color="auto" w:sz="0" w:space="0"/>
          <w:left w:val="none" w:color="auto" w:sz="0" w:space="0"/>
          <w:bottom w:val="single" w:color="FAC090" w:themeColor="accent6" w:sz="4" w:space="0"/>
          <w:right w:val="none" w:color="auto" w:sz="0" w:space="0"/>
        </w:tcBorders>
        <w:shd w:val="clear" w:color="FFFFFF" w:fill="FFFFFF" w:themeFill="light1"/>
      </w:tcPr>
    </w:tblStylePr>
    <w:tblStylePr w:type="lastRow">
      <w:rPr>
        <w:i/>
        <w:color w:themeColor="accent6" w:themeTint="98" w:themeShade="95"/>
        <w:sz w:val="22"/>
      </w:rPr>
      <w:tblPr/>
      <w:tcPr>
        <w:tcBorders>
          <w:top w:val="single" w:color="FAC090"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6" w:themeTint="98" w:themeShade="95"/>
        <w:sz w:val="22"/>
      </w:rPr>
      <w:tblPr/>
      <w:tcPr>
        <w:tcBorders>
          <w:top w:val="none" w:color="auto" w:sz="0" w:space="0"/>
          <w:left w:val="none" w:color="auto" w:sz="0" w:space="0"/>
          <w:bottom w:val="none" w:color="auto" w:sz="0" w:space="0"/>
          <w:right w:val="single" w:color="FAC090" w:themeColor="accent6" w:sz="4" w:space="0"/>
        </w:tcBorders>
        <w:shd w:val="clear" w:color="FFFFFF" w:fill="auto"/>
      </w:tcPr>
    </w:tblStylePr>
    <w:tblStylePr w:type="lastCol">
      <w:rPr>
        <w:i/>
        <w:color w:themeColor="accent6" w:themeTint="98" w:themeShade="95"/>
        <w:sz w:val="22"/>
      </w:rPr>
      <w:tblPr/>
      <w:tcPr>
        <w:tcBorders>
          <w:top w:val="none" w:color="auto" w:sz="0" w:space="0"/>
          <w:left w:val="single" w:color="FAC090" w:themeColor="accent6" w:sz="4" w:space="0"/>
          <w:bottom w:val="none" w:color="auto" w:sz="0" w:space="0"/>
          <w:right w:val="none" w:color="auto" w:sz="0" w:space="0"/>
        </w:tcBorders>
        <w:shd w:val="clear" w:color="FFFFFF" w:fill="auto"/>
      </w:tc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rPr>
      <w:sz w:val="20"/>
      <w:szCs w:val="20"/>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rPr>
      <w:sz w:val="20"/>
      <w:szCs w:val="20"/>
    </w:rPr>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rPr>
      <w:sz w:val="20"/>
      <w:szCs w:val="20"/>
    </w:rPr>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rPr>
      <w:sz w:val="20"/>
      <w:szCs w:val="20"/>
    </w:rPr>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rPr>
      <w:sz w:val="20"/>
      <w:szCs w:val="20"/>
    </w:rPr>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rPr>
      <w:sz w:val="20"/>
      <w:szCs w:val="20"/>
    </w:rPr>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rPr>
      <w:sz w:val="20"/>
      <w:szCs w:val="20"/>
    </w:rPr>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rPr>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rPr>
      <w:sz w:val="20"/>
      <w:szCs w:val="20"/>
    </w:rPr>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rPr>
      <w:sz w:val="20"/>
      <w:szCs w:val="20"/>
    </w:rPr>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rPr>
      <w:sz w:val="20"/>
      <w:szCs w:val="20"/>
    </w:rPr>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rPr>
      <w:sz w:val="20"/>
      <w:szCs w:val="20"/>
    </w:rPr>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rPr>
      <w:sz w:val="20"/>
      <w:szCs w:val="20"/>
    </w:rPr>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rPr>
      <w:sz w:val="20"/>
      <w:szCs w:val="20"/>
    </w:rPr>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D99695" w:themeColor="accent2" w:sz="12" w:space="0"/>
        </w:tcBorders>
      </w:tcPr>
    </w:tblStylePr>
    <w:tblStylePr w:type="lastRow">
      <w:rPr>
        <w:sz w:val="22"/>
      </w:rPr>
      <w:tblPr/>
      <w:tcPr>
        <w:tcBorders>
          <w:top w:val="single" w:color="D99695" w:themeColor="accent2" w:sz="12" w:space="0"/>
        </w:tcBorders>
      </w:tcPr>
    </w:tblStylePr>
    <w:tblStylePr w:type="firstCol">
      <w:rPr>
        <w:sz w:val="22"/>
      </w:rPr>
      <w:tblPr/>
    </w:tblStylePr>
    <w:tblStylePr w:type="lastCol">
      <w:rPr>
        <w:sz w:val="22"/>
      </w:rPr>
      <w:tblPr/>
      <w:tcPr>
        <w:tcBorders>
          <w:left w:val="single" w:color="D99695" w:themeColor="accent2" w:sz="12" w:space="0"/>
        </w:tcBorders>
      </w:tc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C3D69B" w:themeColor="accent3" w:sz="12" w:space="0"/>
        </w:tcBorders>
      </w:tcPr>
    </w:tblStylePr>
    <w:tblStylePr w:type="lastRow">
      <w:rPr>
        <w:sz w:val="22"/>
      </w:rPr>
      <w:tblPr/>
      <w:tcPr>
        <w:tcBorders>
          <w:top w:val="single" w:color="C3D69B" w:themeColor="accent3" w:sz="12" w:space="0"/>
        </w:tcBorders>
      </w:tcPr>
    </w:tblStylePr>
    <w:tblStylePr w:type="firstCol">
      <w:rPr>
        <w:sz w:val="22"/>
      </w:rPr>
      <w:tblPr/>
    </w:tblStylePr>
    <w:tblStylePr w:type="lastCol">
      <w:rPr>
        <w:sz w:val="22"/>
      </w:rPr>
      <w:tblPr/>
      <w:tcPr>
        <w:tcBorders>
          <w:left w:val="single" w:color="C3D69B" w:themeColor="accent3" w:sz="12" w:space="0"/>
        </w:tcBorders>
      </w:tc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B2A1C6" w:themeColor="accent4" w:sz="12" w:space="0"/>
        </w:tcBorders>
      </w:tcPr>
    </w:tblStylePr>
    <w:tblStylePr w:type="lastRow">
      <w:rPr>
        <w:sz w:val="22"/>
      </w:rPr>
      <w:tblPr/>
      <w:tcPr>
        <w:tcBorders>
          <w:top w:val="single" w:color="B2A1C6" w:themeColor="accent4" w:sz="12" w:space="0"/>
        </w:tcBorders>
      </w:tcPr>
    </w:tblStylePr>
    <w:tblStylePr w:type="firstCol">
      <w:rPr>
        <w:sz w:val="22"/>
      </w:rPr>
      <w:tblPr/>
    </w:tblStylePr>
    <w:tblStylePr w:type="lastCol">
      <w:rPr>
        <w:sz w:val="22"/>
      </w:rPr>
      <w:tblPr/>
      <w:tcPr>
        <w:tcBorders>
          <w:left w:val="single" w:color="B2A1C6" w:themeColor="accent4" w:sz="12" w:space="0"/>
        </w:tcBorders>
      </w:tc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92CCDC" w:themeColor="accent5" w:sz="12" w:space="0"/>
        </w:tcBorders>
      </w:tcPr>
    </w:tblStylePr>
    <w:tblStylePr w:type="lastRow">
      <w:rPr>
        <w:sz w:val="22"/>
      </w:rPr>
      <w:tblPr/>
      <w:tcPr>
        <w:tcBorders>
          <w:top w:val="single" w:color="92CCDC" w:themeColor="accent5" w:sz="12" w:space="0"/>
        </w:tcBorders>
      </w:tcPr>
    </w:tblStylePr>
    <w:tblStylePr w:type="firstCol">
      <w:rPr>
        <w:sz w:val="22"/>
      </w:rPr>
      <w:tblPr/>
    </w:tblStylePr>
    <w:tblStylePr w:type="lastCol">
      <w:rPr>
        <w:sz w:val="22"/>
      </w:rPr>
      <w:tblPr/>
      <w:tcPr>
        <w:tcBorders>
          <w:left w:val="single" w:color="92CCDC" w:themeColor="accent5" w:sz="12" w:space="0"/>
        </w:tcBorders>
      </w:tc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AC090" w:themeColor="accent6" w:sz="12" w:space="0"/>
        </w:tcBorders>
      </w:tcPr>
    </w:tblStylePr>
    <w:tblStylePr w:type="lastRow">
      <w:rPr>
        <w:sz w:val="22"/>
      </w:rPr>
      <w:tblPr/>
      <w:tcPr>
        <w:tcBorders>
          <w:top w:val="single" w:color="FAC090" w:themeColor="accent6" w:sz="12" w:space="0"/>
        </w:tcBorders>
      </w:tcPr>
    </w:tblStylePr>
    <w:tblStylePr w:type="firstCol">
      <w:rPr>
        <w:sz w:val="22"/>
      </w:rPr>
      <w:tblPr/>
    </w:tblStylePr>
    <w:tblStylePr w:type="lastCol">
      <w:rPr>
        <w:sz w:val="22"/>
      </w:rPr>
      <w:tblPr/>
      <w:tcPr>
        <w:tcBorders>
          <w:left w:val="single" w:color="FAC090" w:themeColor="accent6" w:sz="12" w:space="0"/>
        </w:tcBorders>
      </w:tc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Liberation Sans" pitchFamily="0" charset="1"/>
        <a:cs typeface="Liberation Sans" pitchFamily="0" charset="1"/>
      </a:majorFont>
      <a:minorFont>
        <a:latin typeface="Calibri" pitchFamily="0" charset="1"/>
        <a:ea typeface="Liberation Sans" pitchFamily="0" charset="1"/>
        <a:cs typeface="Liberation Sans"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TotalTime>
  <Application>LibreOffice/24.8.4.1$Linux_X86_64 LibreOffice_project/480$Build-1</Application>
  <AppVersion>15.0000</AppVersion>
  <Pages>56</Pages>
  <Words>15868</Words>
  <Characters>123801</Characters>
  <CharactersWithSpaces>139719</CharactersWithSpaces>
  <Paragraphs>470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2022-04-13T12:27:00Z</dcterms:created>
  <dc:creator>Большаков Александр Алексеевич</dc:creator>
  <dc:description/>
  <dc:language>ru-RU</dc:language>
  <cp:lastModifiedBy/>
  <dcterms:modified xsi:type="dcterms:W3CDTF">2026-04-24T08:44:05Z</dcterms:modified>
  <cp:revision>6</cp:revision>
  <dc:subject/>
  <dc:title>О мерах по обеспечению безопасности при использовании и содержании внутридомового и внутриквартирного газового оборудования (с изменениями на 19 марта 2020 года)</dc:title>
</cp:coreProperties>
</file>

<file path=docProps/custom.xml><?xml version="1.0" encoding="utf-8"?>
<Properties xmlns="http://schemas.openxmlformats.org/officeDocument/2006/custom-properties" xmlns:vt="http://schemas.openxmlformats.org/officeDocument/2006/docPropsVTypes"/>
</file>